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3A2317" w:rsidTr="00A324ED">
        <w:tc>
          <w:tcPr>
            <w:tcW w:w="3227" w:type="dxa"/>
          </w:tcPr>
          <w:p w:rsidR="003A2317" w:rsidRDefault="003A2317" w:rsidP="003A2317">
            <w:pPr>
              <w:jc w:val="center"/>
              <w:rPr>
                <w:rFonts w:ascii="Times New Roman" w:hAnsi="Times New Roman" w:cs="Times New Roman"/>
                <w:sz w:val="26"/>
                <w:szCs w:val="26"/>
              </w:rPr>
            </w:pPr>
            <w:r w:rsidRPr="00390B34">
              <w:rPr>
                <w:rFonts w:ascii="Times New Roman" w:hAnsi="Times New Roman" w:cs="Times New Roman"/>
                <w:sz w:val="26"/>
                <w:szCs w:val="26"/>
              </w:rPr>
              <w:t>BỆNH VIỆN Đ</w:t>
            </w:r>
            <w:r>
              <w:rPr>
                <w:rFonts w:ascii="Times New Roman" w:hAnsi="Times New Roman" w:cs="Times New Roman"/>
                <w:sz w:val="26"/>
                <w:szCs w:val="26"/>
              </w:rPr>
              <w:t>A KHOA</w:t>
            </w:r>
          </w:p>
          <w:p w:rsidR="003A2317" w:rsidRPr="003A2317" w:rsidRDefault="003A2317" w:rsidP="003A2317">
            <w:pPr>
              <w:jc w:val="center"/>
              <w:rPr>
                <w:rFonts w:ascii="Times New Roman" w:hAnsi="Times New Roman" w:cs="Times New Roman"/>
                <w:sz w:val="26"/>
                <w:szCs w:val="26"/>
                <w:u w:val="single"/>
              </w:rPr>
            </w:pPr>
            <w:r w:rsidRPr="003A2317">
              <w:rPr>
                <w:rFonts w:ascii="Times New Roman" w:hAnsi="Times New Roman" w:cs="Times New Roman"/>
                <w:sz w:val="26"/>
                <w:szCs w:val="26"/>
                <w:u w:val="single"/>
              </w:rPr>
              <w:t>KHU VỰC  TÂN CHÂU</w:t>
            </w:r>
          </w:p>
          <w:p w:rsidR="003A2317" w:rsidRDefault="003A2317" w:rsidP="003A2317">
            <w:pPr>
              <w:jc w:val="center"/>
              <w:rPr>
                <w:rFonts w:ascii="Times New Roman" w:hAnsi="Times New Roman" w:cs="Times New Roman"/>
                <w:sz w:val="26"/>
                <w:szCs w:val="26"/>
              </w:rPr>
            </w:pPr>
            <w:r w:rsidRPr="00390B34">
              <w:rPr>
                <w:rFonts w:ascii="Times New Roman" w:hAnsi="Times New Roman" w:cs="Times New Roman"/>
                <w:b/>
                <w:sz w:val="26"/>
                <w:szCs w:val="26"/>
              </w:rPr>
              <w:t>TỔ THÔNG TIN THUỐC</w:t>
            </w:r>
          </w:p>
        </w:tc>
        <w:tc>
          <w:tcPr>
            <w:tcW w:w="6237" w:type="dxa"/>
          </w:tcPr>
          <w:p w:rsidR="003A2317" w:rsidRPr="00390B34" w:rsidRDefault="003A2317" w:rsidP="003A2317">
            <w:pPr>
              <w:rPr>
                <w:rFonts w:ascii="Times New Roman" w:hAnsi="Times New Roman" w:cs="Times New Roman"/>
                <w:sz w:val="26"/>
                <w:szCs w:val="26"/>
              </w:rPr>
            </w:pPr>
            <w:r w:rsidRPr="00390B34">
              <w:rPr>
                <w:rFonts w:ascii="Times New Roman" w:hAnsi="Times New Roman" w:cs="Times New Roman"/>
                <w:b/>
                <w:sz w:val="26"/>
                <w:szCs w:val="26"/>
              </w:rPr>
              <w:t>CỘNG HOÀ XÃ HỘI CHỦ NGHĨA VIỆT NAM</w:t>
            </w:r>
          </w:p>
          <w:p w:rsidR="003A2317" w:rsidRDefault="003A2317" w:rsidP="00AB6AF9">
            <w:pPr>
              <w:rPr>
                <w:rFonts w:ascii="Times New Roman" w:hAnsi="Times New Roman" w:cs="Times New Roman"/>
                <w:b/>
                <w:sz w:val="26"/>
                <w:szCs w:val="26"/>
                <w:u w:val="single"/>
              </w:rPr>
            </w:pPr>
            <w:r w:rsidRPr="00390B34">
              <w:rPr>
                <w:rFonts w:ascii="Times New Roman" w:hAnsi="Times New Roman" w:cs="Times New Roman"/>
                <w:b/>
                <w:sz w:val="26"/>
                <w:szCs w:val="26"/>
              </w:rPr>
              <w:t xml:space="preserve">                          </w:t>
            </w:r>
            <w:r w:rsidRPr="00390B34">
              <w:rPr>
                <w:rFonts w:ascii="Times New Roman" w:hAnsi="Times New Roman" w:cs="Times New Roman"/>
                <w:b/>
                <w:sz w:val="26"/>
                <w:szCs w:val="26"/>
                <w:u w:val="single"/>
              </w:rPr>
              <w:t>Độc lập- Tự do- Hạnh phúc</w:t>
            </w:r>
          </w:p>
          <w:p w:rsidR="003A2317" w:rsidRPr="00390B34" w:rsidRDefault="003A2317" w:rsidP="003A2317">
            <w:pPr>
              <w:jc w:val="right"/>
              <w:rPr>
                <w:rFonts w:ascii="Times New Roman" w:hAnsi="Times New Roman" w:cs="Times New Roman"/>
                <w:i/>
                <w:sz w:val="26"/>
                <w:szCs w:val="26"/>
              </w:rPr>
            </w:pPr>
            <w:r w:rsidRPr="00390B34">
              <w:rPr>
                <w:rFonts w:ascii="Times New Roman" w:hAnsi="Times New Roman" w:cs="Times New Roman"/>
                <w:i/>
                <w:sz w:val="26"/>
                <w:szCs w:val="26"/>
              </w:rPr>
              <w:t>Tân Châu, ngày 5 tháng 4 năm 2024</w:t>
            </w:r>
          </w:p>
          <w:p w:rsidR="003A2317" w:rsidRDefault="003A2317" w:rsidP="00AB6AF9">
            <w:pPr>
              <w:rPr>
                <w:rFonts w:ascii="Times New Roman" w:hAnsi="Times New Roman" w:cs="Times New Roman"/>
                <w:sz w:val="26"/>
                <w:szCs w:val="26"/>
              </w:rPr>
            </w:pPr>
          </w:p>
        </w:tc>
      </w:tr>
    </w:tbl>
    <w:p w:rsidR="003A2317" w:rsidRDefault="003A2317" w:rsidP="00AB6AF9">
      <w:pPr>
        <w:jc w:val="center"/>
        <w:rPr>
          <w:rFonts w:ascii="Times New Roman" w:hAnsi="Times New Roman" w:cs="Times New Roman"/>
          <w:sz w:val="26"/>
          <w:szCs w:val="26"/>
        </w:rPr>
      </w:pPr>
    </w:p>
    <w:p w:rsidR="00AB6AF9" w:rsidRPr="003A2317" w:rsidRDefault="00AB6AF9" w:rsidP="00AB6AF9">
      <w:pPr>
        <w:jc w:val="center"/>
        <w:rPr>
          <w:rFonts w:ascii="Times New Roman" w:hAnsi="Times New Roman" w:cs="Times New Roman"/>
          <w:b/>
          <w:sz w:val="28"/>
          <w:szCs w:val="28"/>
        </w:rPr>
      </w:pPr>
      <w:r w:rsidRPr="003A2317">
        <w:rPr>
          <w:rFonts w:ascii="Times New Roman" w:hAnsi="Times New Roman" w:cs="Times New Roman"/>
          <w:b/>
          <w:sz w:val="28"/>
          <w:szCs w:val="28"/>
        </w:rPr>
        <w:t>THÔNG TIN THUỐ</w:t>
      </w:r>
      <w:r w:rsidR="00F2201E" w:rsidRPr="003A2317">
        <w:rPr>
          <w:rFonts w:ascii="Times New Roman" w:hAnsi="Times New Roman" w:cs="Times New Roman"/>
          <w:b/>
          <w:sz w:val="28"/>
          <w:szCs w:val="28"/>
        </w:rPr>
        <w:t>C THÁNG</w:t>
      </w:r>
      <w:bookmarkStart w:id="0" w:name="_GoBack"/>
      <w:bookmarkEnd w:id="0"/>
      <w:r w:rsidR="00F2201E" w:rsidRPr="003A2317">
        <w:rPr>
          <w:rFonts w:ascii="Times New Roman" w:hAnsi="Times New Roman" w:cs="Times New Roman"/>
          <w:b/>
          <w:sz w:val="28"/>
          <w:szCs w:val="28"/>
        </w:rPr>
        <w:t xml:space="preserve"> 04</w:t>
      </w:r>
      <w:r w:rsidRPr="003A2317">
        <w:rPr>
          <w:rFonts w:ascii="Times New Roman" w:hAnsi="Times New Roman" w:cs="Times New Roman"/>
          <w:b/>
          <w:sz w:val="28"/>
          <w:szCs w:val="28"/>
        </w:rPr>
        <w:t xml:space="preserve"> NĂM 2024</w:t>
      </w:r>
    </w:p>
    <w:p w:rsidR="00AB6AF9" w:rsidRPr="00390B34" w:rsidRDefault="00AB6AF9" w:rsidP="0087390A">
      <w:pPr>
        <w:ind w:firstLine="567"/>
        <w:jc w:val="both"/>
        <w:rPr>
          <w:rFonts w:ascii="Times New Roman" w:hAnsi="Times New Roman" w:cs="Times New Roman"/>
          <w:b/>
          <w:sz w:val="26"/>
          <w:szCs w:val="26"/>
        </w:rPr>
      </w:pPr>
      <w:r w:rsidRPr="00390B34">
        <w:rPr>
          <w:rFonts w:ascii="Times New Roman" w:hAnsi="Times New Roman" w:cs="Times New Roman"/>
          <w:b/>
          <w:sz w:val="26"/>
          <w:szCs w:val="26"/>
        </w:rPr>
        <w:t xml:space="preserve">1. Hướng dẫn sử dụng </w:t>
      </w:r>
      <w:r w:rsidR="00F2201E" w:rsidRPr="00390B34">
        <w:rPr>
          <w:rFonts w:ascii="Times New Roman" w:hAnsi="Times New Roman" w:cs="Times New Roman"/>
          <w:b/>
          <w:sz w:val="26"/>
          <w:szCs w:val="26"/>
        </w:rPr>
        <w:t>NIRZOLID</w:t>
      </w:r>
    </w:p>
    <w:p w:rsidR="00AB6AF9" w:rsidRPr="00390B34" w:rsidRDefault="00AB6AF9"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xml:space="preserve">- </w:t>
      </w:r>
      <w:r w:rsidRPr="00390B34">
        <w:rPr>
          <w:rFonts w:ascii="Times New Roman" w:hAnsi="Times New Roman" w:cs="Times New Roman"/>
          <w:b/>
          <w:sz w:val="26"/>
          <w:szCs w:val="26"/>
        </w:rPr>
        <w:t>Hoạt chất</w:t>
      </w:r>
      <w:r w:rsidR="00F2201E" w:rsidRPr="00390B34">
        <w:rPr>
          <w:rFonts w:ascii="Times New Roman" w:hAnsi="Times New Roman" w:cs="Times New Roman"/>
          <w:sz w:val="26"/>
          <w:szCs w:val="26"/>
        </w:rPr>
        <w:t>: Linezolid 200mg/100ml</w:t>
      </w:r>
    </w:p>
    <w:p w:rsidR="00AB6AF9" w:rsidRPr="00390B34" w:rsidRDefault="00AB6AF9"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xml:space="preserve">- </w:t>
      </w:r>
      <w:r w:rsidRPr="00390B34">
        <w:rPr>
          <w:rFonts w:ascii="Times New Roman" w:hAnsi="Times New Roman" w:cs="Times New Roman"/>
          <w:b/>
          <w:sz w:val="26"/>
          <w:szCs w:val="26"/>
        </w:rPr>
        <w:t>Chỉ định:</w:t>
      </w:r>
      <w:r w:rsidRPr="00390B34">
        <w:rPr>
          <w:rFonts w:ascii="Times New Roman" w:hAnsi="Times New Roman" w:cs="Times New Roman"/>
          <w:sz w:val="26"/>
          <w:szCs w:val="26"/>
        </w:rPr>
        <w:t xml:space="preserve"> </w:t>
      </w:r>
      <w:r w:rsidR="00AB00EA" w:rsidRPr="00390B34">
        <w:rPr>
          <w:rFonts w:ascii="Times New Roman" w:hAnsi="Times New Roman" w:cs="Times New Roman"/>
          <w:sz w:val="26"/>
          <w:szCs w:val="26"/>
        </w:rPr>
        <w:t>Linezolid được chỉ định trong các trường họp sau đây</w:t>
      </w:r>
      <w:r w:rsidR="000138F8" w:rsidRPr="00390B34">
        <w:rPr>
          <w:rFonts w:ascii="Times New Roman" w:hAnsi="Times New Roman" w:cs="Times New Roman"/>
          <w:sz w:val="26"/>
          <w:szCs w:val="26"/>
        </w:rPr>
        <w:t xml:space="preserve"> bao gồm các trường họp nghi ngờ hoặc đã xác định có nhiễm khuẩn huyết đồng thời, do các chủng vi khuẩn hiếu khí hoặc kỵ khí gram (+) nhạy cảm gây ra</w:t>
      </w:r>
      <w:r w:rsidR="00F07838" w:rsidRPr="00390B34">
        <w:rPr>
          <w:rFonts w:ascii="Times New Roman" w:hAnsi="Times New Roman" w:cs="Times New Roman"/>
          <w:sz w:val="26"/>
          <w:szCs w:val="26"/>
        </w:rPr>
        <w:t xml:space="preserve">. Điều trị phối hợp có thể được chỉ định trên lâm sàng trong trường hợp vi khuẩn gây bệnh bao gồm cả các chuẩn vi khuẩn gram (-). </w:t>
      </w:r>
    </w:p>
    <w:p w:rsidR="00F07838" w:rsidRPr="00390B34" w:rsidRDefault="00F07838"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Linezolid chỉ có tác dụng trên vi khuẩn gram(+), không có hoạt tính trên các chủng vi khuẩn gây bệnh gram (-) . Cần sử dụng liệu pháp có tác dụng đặc hiệu trên các vi khuẩn gram (-) trong trường hợp đã xác định hoặc nghi ngờ nhiễm đồng thời vi khuẩn gram (-)</w:t>
      </w:r>
    </w:p>
    <w:p w:rsidR="00F07838" w:rsidRPr="00390B34" w:rsidRDefault="00F07838"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Viêm phổi bệnh viện.</w:t>
      </w:r>
    </w:p>
    <w:p w:rsidR="00F07838" w:rsidRPr="00390B34" w:rsidRDefault="00F07838"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Viêm phổi mắc phải tại cộng đồng.</w:t>
      </w:r>
    </w:p>
    <w:p w:rsidR="00F07838" w:rsidRPr="00390B34" w:rsidRDefault="00F07838"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Nhiễm khuẩn da mô mềm nặng có biến chứng.</w:t>
      </w:r>
    </w:p>
    <w:p w:rsidR="00F07838" w:rsidRPr="00390B34" w:rsidRDefault="00F07838"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Nhiễm khuẩn do Enterococcus faecium kháng vancomycin, kể cả những trường hợp có nhiễm khuẩn huyết đồng thời.</w:t>
      </w:r>
    </w:p>
    <w:p w:rsidR="00AB6AF9" w:rsidRPr="00390B34" w:rsidRDefault="00AB6AF9" w:rsidP="0087390A">
      <w:pPr>
        <w:ind w:firstLine="567"/>
        <w:jc w:val="both"/>
        <w:rPr>
          <w:rFonts w:ascii="Times New Roman" w:hAnsi="Times New Roman" w:cs="Times New Roman"/>
          <w:b/>
          <w:sz w:val="26"/>
          <w:szCs w:val="26"/>
        </w:rPr>
      </w:pPr>
      <w:r w:rsidRPr="00390B34">
        <w:rPr>
          <w:rFonts w:ascii="Times New Roman" w:hAnsi="Times New Roman" w:cs="Times New Roman"/>
          <w:sz w:val="26"/>
          <w:szCs w:val="26"/>
        </w:rPr>
        <w:t xml:space="preserve">- </w:t>
      </w:r>
      <w:r w:rsidRPr="00390B34">
        <w:rPr>
          <w:rFonts w:ascii="Times New Roman" w:hAnsi="Times New Roman" w:cs="Times New Roman"/>
          <w:b/>
          <w:sz w:val="26"/>
          <w:szCs w:val="26"/>
        </w:rPr>
        <w:t xml:space="preserve">Liều dùng: </w:t>
      </w:r>
    </w:p>
    <w:p w:rsidR="003A2317" w:rsidRDefault="003A2317" w:rsidP="00616421">
      <w:pPr>
        <w:spacing w:line="360" w:lineRule="auto"/>
        <w:rPr>
          <w:rFonts w:ascii="Times New Roman" w:hAnsi="Times New Roman" w:cs="Times New Roman"/>
          <w:sz w:val="26"/>
          <w:szCs w:val="26"/>
        </w:rPr>
        <w:sectPr w:rsidR="003A2317" w:rsidSect="003A2317">
          <w:footerReference w:type="default" r:id="rId9"/>
          <w:pgSz w:w="11906" w:h="16838"/>
          <w:pgMar w:top="1134" w:right="1134" w:bottom="1134" w:left="1701" w:header="709" w:footer="709" w:gutter="0"/>
          <w:cols w:space="708"/>
          <w:docGrid w:linePitch="360"/>
        </w:sectPr>
      </w:pPr>
    </w:p>
    <w:tbl>
      <w:tblPr>
        <w:tblStyle w:val="TableGrid"/>
        <w:tblW w:w="0" w:type="auto"/>
        <w:jc w:val="center"/>
        <w:tblLook w:val="04A0" w:firstRow="1" w:lastRow="0" w:firstColumn="1" w:lastColumn="0" w:noHBand="0" w:noVBand="1"/>
      </w:tblPr>
      <w:tblGrid>
        <w:gridCol w:w="3842"/>
        <w:gridCol w:w="1701"/>
        <w:gridCol w:w="1938"/>
        <w:gridCol w:w="1938"/>
        <w:gridCol w:w="2914"/>
      </w:tblGrid>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lastRenderedPageBreak/>
              <w:t>Loại nhiễm khuẩn</w:t>
            </w:r>
          </w:p>
        </w:tc>
        <w:tc>
          <w:tcPr>
            <w:tcW w:w="3639" w:type="dxa"/>
            <w:gridSpan w:val="2"/>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Liều khuyến cáo cho người lớn và thiếu niên( từ 12 tuổi trở lên)</w:t>
            </w:r>
          </w:p>
        </w:tc>
        <w:tc>
          <w:tcPr>
            <w:tcW w:w="4852" w:type="dxa"/>
            <w:gridSpan w:val="2"/>
          </w:tcPr>
          <w:p w:rsidR="003A2317" w:rsidRPr="00390B34" w:rsidRDefault="003A2317" w:rsidP="00B8008E">
            <w:pPr>
              <w:spacing w:line="360" w:lineRule="auto"/>
              <w:rPr>
                <w:rFonts w:ascii="Times New Roman" w:hAnsi="Times New Roman" w:cs="Times New Roman"/>
                <w:b/>
                <w:sz w:val="26"/>
                <w:szCs w:val="26"/>
              </w:rPr>
            </w:pPr>
            <w:r w:rsidRPr="00390B34">
              <w:rPr>
                <w:rFonts w:ascii="Times New Roman" w:hAnsi="Times New Roman" w:cs="Times New Roman"/>
                <w:sz w:val="26"/>
                <w:szCs w:val="26"/>
              </w:rPr>
              <w:t>Liều khuyến cáo cho trẻ em( sơ sinh đến 11 tuổi)</w:t>
            </w:r>
          </w:p>
        </w:tc>
      </w:tr>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p>
        </w:tc>
        <w:tc>
          <w:tcPr>
            <w:tcW w:w="1701"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Liều dùng</w:t>
            </w:r>
          </w:p>
        </w:tc>
        <w:tc>
          <w:tcPr>
            <w:tcW w:w="1938"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Thời gian điều trị</w:t>
            </w:r>
          </w:p>
        </w:tc>
        <w:tc>
          <w:tcPr>
            <w:tcW w:w="1938"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Liều dùng</w:t>
            </w:r>
          </w:p>
        </w:tc>
        <w:tc>
          <w:tcPr>
            <w:tcW w:w="2914"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Thời gian điều trị</w:t>
            </w:r>
          </w:p>
        </w:tc>
      </w:tr>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Viêm phổi bệnh viên, bao gồm các trường hợp có nhiễm khuẩn huyết đồng thời.</w:t>
            </w:r>
          </w:p>
        </w:tc>
        <w:tc>
          <w:tcPr>
            <w:tcW w:w="1701" w:type="dxa"/>
            <w:vMerge w:val="restart"/>
          </w:tcPr>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600 mg truyền tĩnh mạch cách 12 giờ một lần</w:t>
            </w:r>
          </w:p>
        </w:tc>
        <w:tc>
          <w:tcPr>
            <w:tcW w:w="1938" w:type="dxa"/>
            <w:vMerge w:val="restart"/>
          </w:tcPr>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10-14 ngày liên tục</w:t>
            </w:r>
          </w:p>
        </w:tc>
        <w:tc>
          <w:tcPr>
            <w:tcW w:w="1938" w:type="dxa"/>
            <w:vMerge w:val="restart"/>
          </w:tcPr>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10mg/kg truyền tĩnh mạch 12 giờ một lần</w:t>
            </w:r>
          </w:p>
        </w:tc>
        <w:tc>
          <w:tcPr>
            <w:tcW w:w="2914" w:type="dxa"/>
            <w:vMerge w:val="restart"/>
          </w:tcPr>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p>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10-14 ngày liên tục</w:t>
            </w:r>
          </w:p>
        </w:tc>
      </w:tr>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Viêm phổi mắc phải từ cộng đồng, bao gồm các trường hợp có nhiễm khuẩn huyết đồng thời</w:t>
            </w:r>
          </w:p>
        </w:tc>
        <w:tc>
          <w:tcPr>
            <w:tcW w:w="1701" w:type="dxa"/>
            <w:vMerge/>
          </w:tcPr>
          <w:p w:rsidR="003A2317" w:rsidRPr="00390B34" w:rsidRDefault="003A2317" w:rsidP="00B8008E">
            <w:pPr>
              <w:spacing w:line="360" w:lineRule="auto"/>
              <w:rPr>
                <w:rFonts w:ascii="Times New Roman" w:hAnsi="Times New Roman" w:cs="Times New Roman"/>
                <w:b/>
                <w:sz w:val="26"/>
                <w:szCs w:val="26"/>
              </w:rPr>
            </w:pPr>
          </w:p>
        </w:tc>
        <w:tc>
          <w:tcPr>
            <w:tcW w:w="1938" w:type="dxa"/>
            <w:vMerge/>
          </w:tcPr>
          <w:p w:rsidR="003A2317" w:rsidRPr="00390B34" w:rsidRDefault="003A2317" w:rsidP="00B8008E">
            <w:pPr>
              <w:spacing w:line="360" w:lineRule="auto"/>
              <w:rPr>
                <w:rFonts w:ascii="Times New Roman" w:hAnsi="Times New Roman" w:cs="Times New Roman"/>
                <w:sz w:val="26"/>
                <w:szCs w:val="26"/>
              </w:rPr>
            </w:pPr>
          </w:p>
        </w:tc>
        <w:tc>
          <w:tcPr>
            <w:tcW w:w="1938" w:type="dxa"/>
            <w:vMerge/>
          </w:tcPr>
          <w:p w:rsidR="003A2317" w:rsidRPr="00390B34" w:rsidRDefault="003A2317" w:rsidP="00B8008E">
            <w:pPr>
              <w:spacing w:line="360" w:lineRule="auto"/>
              <w:rPr>
                <w:rFonts w:ascii="Times New Roman" w:hAnsi="Times New Roman" w:cs="Times New Roman"/>
                <w:sz w:val="26"/>
                <w:szCs w:val="26"/>
              </w:rPr>
            </w:pPr>
          </w:p>
        </w:tc>
        <w:tc>
          <w:tcPr>
            <w:tcW w:w="2914" w:type="dxa"/>
            <w:vMerge/>
          </w:tcPr>
          <w:p w:rsidR="003A2317" w:rsidRPr="00390B34" w:rsidRDefault="003A2317" w:rsidP="00B8008E">
            <w:pPr>
              <w:spacing w:line="360" w:lineRule="auto"/>
              <w:rPr>
                <w:rFonts w:ascii="Times New Roman" w:hAnsi="Times New Roman" w:cs="Times New Roman"/>
                <w:sz w:val="26"/>
                <w:szCs w:val="26"/>
              </w:rPr>
            </w:pPr>
          </w:p>
        </w:tc>
      </w:tr>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Nhiễm khuẩn da và mô mềm có biến chứng, bao gồm các trường hợp có nhiễm khuẩn huyết đồng thời.</w:t>
            </w:r>
          </w:p>
        </w:tc>
        <w:tc>
          <w:tcPr>
            <w:tcW w:w="1701" w:type="dxa"/>
            <w:vMerge/>
          </w:tcPr>
          <w:p w:rsidR="003A2317" w:rsidRPr="00390B34" w:rsidRDefault="003A2317" w:rsidP="00B8008E">
            <w:pPr>
              <w:spacing w:line="360" w:lineRule="auto"/>
              <w:rPr>
                <w:rFonts w:ascii="Times New Roman" w:hAnsi="Times New Roman" w:cs="Times New Roman"/>
                <w:b/>
                <w:sz w:val="26"/>
                <w:szCs w:val="26"/>
              </w:rPr>
            </w:pPr>
          </w:p>
        </w:tc>
        <w:tc>
          <w:tcPr>
            <w:tcW w:w="1938" w:type="dxa"/>
            <w:vMerge/>
          </w:tcPr>
          <w:p w:rsidR="003A2317" w:rsidRPr="00390B34" w:rsidRDefault="003A2317" w:rsidP="00B8008E">
            <w:pPr>
              <w:spacing w:line="360" w:lineRule="auto"/>
              <w:rPr>
                <w:rFonts w:ascii="Times New Roman" w:hAnsi="Times New Roman" w:cs="Times New Roman"/>
                <w:b/>
                <w:sz w:val="26"/>
                <w:szCs w:val="26"/>
              </w:rPr>
            </w:pPr>
          </w:p>
        </w:tc>
        <w:tc>
          <w:tcPr>
            <w:tcW w:w="1938" w:type="dxa"/>
            <w:vMerge/>
          </w:tcPr>
          <w:p w:rsidR="003A2317" w:rsidRPr="00390B34" w:rsidRDefault="003A2317" w:rsidP="00B8008E">
            <w:pPr>
              <w:spacing w:line="360" w:lineRule="auto"/>
              <w:rPr>
                <w:rFonts w:ascii="Times New Roman" w:hAnsi="Times New Roman" w:cs="Times New Roman"/>
                <w:b/>
                <w:sz w:val="26"/>
                <w:szCs w:val="26"/>
              </w:rPr>
            </w:pPr>
          </w:p>
        </w:tc>
        <w:tc>
          <w:tcPr>
            <w:tcW w:w="2914" w:type="dxa"/>
            <w:vMerge/>
          </w:tcPr>
          <w:p w:rsidR="003A2317" w:rsidRPr="00390B34" w:rsidRDefault="003A2317" w:rsidP="00B8008E">
            <w:pPr>
              <w:spacing w:line="360" w:lineRule="auto"/>
              <w:rPr>
                <w:rFonts w:ascii="Times New Roman" w:hAnsi="Times New Roman" w:cs="Times New Roman"/>
                <w:b/>
                <w:sz w:val="26"/>
                <w:szCs w:val="26"/>
              </w:rPr>
            </w:pPr>
          </w:p>
        </w:tc>
      </w:tr>
      <w:tr w:rsidR="003A2317" w:rsidRPr="00390B34" w:rsidTr="00B8008E">
        <w:trPr>
          <w:jc w:val="center"/>
        </w:trPr>
        <w:tc>
          <w:tcPr>
            <w:tcW w:w="3842" w:type="dxa"/>
          </w:tcPr>
          <w:p w:rsidR="003A2317" w:rsidRPr="00390B34" w:rsidRDefault="003A2317" w:rsidP="00B8008E">
            <w:pPr>
              <w:spacing w:line="360" w:lineRule="auto"/>
              <w:rPr>
                <w:rFonts w:ascii="Times New Roman" w:hAnsi="Times New Roman" w:cs="Times New Roman"/>
                <w:sz w:val="26"/>
                <w:szCs w:val="26"/>
              </w:rPr>
            </w:pPr>
            <w:r w:rsidRPr="00390B34">
              <w:rPr>
                <w:rFonts w:ascii="Times New Roman" w:hAnsi="Times New Roman" w:cs="Times New Roman"/>
                <w:sz w:val="26"/>
                <w:szCs w:val="26"/>
              </w:rPr>
              <w:t>Nhiễm khuẩn do Enterococcus faecium kháng vancomycin, bao gồm các trường hợp có nhiễm khuẩn huyết đồng thời.</w:t>
            </w:r>
          </w:p>
        </w:tc>
        <w:tc>
          <w:tcPr>
            <w:tcW w:w="1701" w:type="dxa"/>
          </w:tcPr>
          <w:p w:rsidR="003A2317" w:rsidRPr="00390B34" w:rsidRDefault="003A2317" w:rsidP="00B8008E">
            <w:pPr>
              <w:spacing w:line="360" w:lineRule="auto"/>
              <w:rPr>
                <w:rFonts w:ascii="Times New Roman" w:hAnsi="Times New Roman" w:cs="Times New Roman"/>
                <w:b/>
                <w:sz w:val="26"/>
                <w:szCs w:val="26"/>
              </w:rPr>
            </w:pPr>
            <w:r w:rsidRPr="00390B34">
              <w:rPr>
                <w:rFonts w:ascii="Times New Roman" w:hAnsi="Times New Roman" w:cs="Times New Roman"/>
                <w:sz w:val="26"/>
                <w:szCs w:val="26"/>
              </w:rPr>
              <w:t>600 mg truyền tĩnh mạch cách 12 giờ một lần</w:t>
            </w:r>
          </w:p>
        </w:tc>
        <w:tc>
          <w:tcPr>
            <w:tcW w:w="1938" w:type="dxa"/>
          </w:tcPr>
          <w:p w:rsidR="003A2317" w:rsidRPr="00390B34" w:rsidRDefault="003A2317" w:rsidP="00B8008E">
            <w:pPr>
              <w:spacing w:line="360" w:lineRule="auto"/>
              <w:rPr>
                <w:rFonts w:ascii="Times New Roman" w:hAnsi="Times New Roman" w:cs="Times New Roman"/>
                <w:b/>
                <w:sz w:val="26"/>
                <w:szCs w:val="26"/>
              </w:rPr>
            </w:pPr>
            <w:r w:rsidRPr="00390B34">
              <w:rPr>
                <w:rFonts w:ascii="Times New Roman" w:hAnsi="Times New Roman" w:cs="Times New Roman"/>
                <w:sz w:val="26"/>
                <w:szCs w:val="26"/>
              </w:rPr>
              <w:t>14-28 ngày liên tục</w:t>
            </w:r>
          </w:p>
        </w:tc>
        <w:tc>
          <w:tcPr>
            <w:tcW w:w="1938" w:type="dxa"/>
          </w:tcPr>
          <w:p w:rsidR="003A2317" w:rsidRPr="00390B34" w:rsidRDefault="003A2317" w:rsidP="00B8008E">
            <w:pPr>
              <w:spacing w:line="360" w:lineRule="auto"/>
              <w:rPr>
                <w:rFonts w:ascii="Times New Roman" w:hAnsi="Times New Roman" w:cs="Times New Roman"/>
                <w:b/>
                <w:sz w:val="26"/>
                <w:szCs w:val="26"/>
              </w:rPr>
            </w:pPr>
            <w:r w:rsidRPr="00390B34">
              <w:rPr>
                <w:rFonts w:ascii="Times New Roman" w:hAnsi="Times New Roman" w:cs="Times New Roman"/>
                <w:sz w:val="26"/>
                <w:szCs w:val="26"/>
              </w:rPr>
              <w:t>10mg/kg truyền tĩnh mạch 12 giờ một lần</w:t>
            </w:r>
          </w:p>
        </w:tc>
        <w:tc>
          <w:tcPr>
            <w:tcW w:w="2914" w:type="dxa"/>
          </w:tcPr>
          <w:p w:rsidR="003A2317" w:rsidRPr="00390B34" w:rsidRDefault="003A2317" w:rsidP="00B8008E">
            <w:pPr>
              <w:spacing w:line="360" w:lineRule="auto"/>
              <w:rPr>
                <w:rFonts w:ascii="Times New Roman" w:hAnsi="Times New Roman" w:cs="Times New Roman"/>
                <w:b/>
                <w:sz w:val="26"/>
                <w:szCs w:val="26"/>
              </w:rPr>
            </w:pPr>
            <w:r w:rsidRPr="00390B34">
              <w:rPr>
                <w:rFonts w:ascii="Times New Roman" w:hAnsi="Times New Roman" w:cs="Times New Roman"/>
                <w:sz w:val="26"/>
                <w:szCs w:val="26"/>
              </w:rPr>
              <w:t>14-28 ngày liên tục</w:t>
            </w:r>
          </w:p>
        </w:tc>
      </w:tr>
    </w:tbl>
    <w:p w:rsidR="003A2317" w:rsidRDefault="003A2317" w:rsidP="00616421">
      <w:pPr>
        <w:spacing w:line="360" w:lineRule="auto"/>
        <w:rPr>
          <w:rFonts w:ascii="Times New Roman" w:hAnsi="Times New Roman" w:cs="Times New Roman"/>
          <w:sz w:val="26"/>
          <w:szCs w:val="26"/>
        </w:rPr>
        <w:sectPr w:rsidR="003A2317" w:rsidSect="003A2317">
          <w:pgSz w:w="16838" w:h="11906" w:orient="landscape"/>
          <w:pgMar w:top="1701" w:right="1134" w:bottom="1134" w:left="1134" w:header="709" w:footer="709" w:gutter="0"/>
          <w:cols w:space="708"/>
          <w:docGrid w:linePitch="360"/>
        </w:sectPr>
      </w:pPr>
    </w:p>
    <w:p w:rsidR="00CF3D11" w:rsidRPr="00390B34" w:rsidRDefault="003A2317" w:rsidP="00CF3D11">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3D11" w:rsidRPr="00390B34">
        <w:rPr>
          <w:rFonts w:ascii="Times New Roman" w:hAnsi="Times New Roman" w:cs="Times New Roman"/>
          <w:sz w:val="26"/>
          <w:szCs w:val="26"/>
        </w:rPr>
        <w:t>ĐỐI TƯỢNG ĐẶC BIẾT</w:t>
      </w:r>
    </w:p>
    <w:tbl>
      <w:tblPr>
        <w:tblStyle w:val="TableGrid"/>
        <w:tblW w:w="0" w:type="auto"/>
        <w:jc w:val="center"/>
        <w:tblInd w:w="707" w:type="dxa"/>
        <w:tblLook w:val="04A0" w:firstRow="1" w:lastRow="0" w:firstColumn="1" w:lastColumn="0" w:noHBand="0" w:noVBand="1"/>
      </w:tblPr>
      <w:tblGrid>
        <w:gridCol w:w="3087"/>
        <w:gridCol w:w="2551"/>
        <w:gridCol w:w="2126"/>
        <w:gridCol w:w="3222"/>
        <w:gridCol w:w="2976"/>
      </w:tblGrid>
      <w:tr w:rsidR="007354A0" w:rsidRPr="00390B34" w:rsidTr="00A324ED">
        <w:trPr>
          <w:jc w:val="center"/>
        </w:trPr>
        <w:tc>
          <w:tcPr>
            <w:tcW w:w="3087" w:type="dxa"/>
          </w:tcPr>
          <w:p w:rsidR="007354A0" w:rsidRPr="00390B34" w:rsidRDefault="007354A0" w:rsidP="007748BB">
            <w:pPr>
              <w:spacing w:line="360" w:lineRule="auto"/>
              <w:jc w:val="center"/>
              <w:rPr>
                <w:rFonts w:ascii="Times New Roman" w:hAnsi="Times New Roman" w:cs="Times New Roman"/>
                <w:sz w:val="26"/>
                <w:szCs w:val="26"/>
              </w:rPr>
            </w:pPr>
            <w:r w:rsidRPr="00390B34">
              <w:rPr>
                <w:rFonts w:ascii="Times New Roman" w:hAnsi="Times New Roman" w:cs="Times New Roman"/>
                <w:sz w:val="26"/>
                <w:szCs w:val="26"/>
              </w:rPr>
              <w:t>Trẻ sinh non</w:t>
            </w:r>
          </w:p>
        </w:tc>
        <w:tc>
          <w:tcPr>
            <w:tcW w:w="2551" w:type="dxa"/>
          </w:tcPr>
          <w:p w:rsidR="007354A0" w:rsidRPr="00390B34" w:rsidRDefault="007354A0" w:rsidP="007748BB">
            <w:pPr>
              <w:spacing w:line="360" w:lineRule="auto"/>
              <w:jc w:val="center"/>
              <w:rPr>
                <w:rFonts w:ascii="Times New Roman" w:hAnsi="Times New Roman" w:cs="Times New Roman"/>
                <w:sz w:val="26"/>
                <w:szCs w:val="26"/>
              </w:rPr>
            </w:pPr>
            <w:r w:rsidRPr="00390B34">
              <w:rPr>
                <w:rFonts w:ascii="Times New Roman" w:hAnsi="Times New Roman" w:cs="Times New Roman"/>
                <w:sz w:val="26"/>
                <w:szCs w:val="26"/>
              </w:rPr>
              <w:t>Người già</w:t>
            </w:r>
          </w:p>
        </w:tc>
        <w:tc>
          <w:tcPr>
            <w:tcW w:w="2126" w:type="dxa"/>
          </w:tcPr>
          <w:p w:rsidR="007354A0" w:rsidRPr="00390B34" w:rsidRDefault="007354A0" w:rsidP="007748BB">
            <w:pPr>
              <w:spacing w:line="360" w:lineRule="auto"/>
              <w:jc w:val="center"/>
              <w:rPr>
                <w:rFonts w:ascii="Times New Roman" w:hAnsi="Times New Roman" w:cs="Times New Roman"/>
                <w:sz w:val="26"/>
                <w:szCs w:val="26"/>
              </w:rPr>
            </w:pPr>
            <w:r w:rsidRPr="00390B34">
              <w:rPr>
                <w:rFonts w:ascii="Times New Roman" w:hAnsi="Times New Roman" w:cs="Times New Roman"/>
                <w:sz w:val="26"/>
                <w:szCs w:val="26"/>
              </w:rPr>
              <w:t>Bệnh nhân suy thận</w:t>
            </w:r>
          </w:p>
        </w:tc>
        <w:tc>
          <w:tcPr>
            <w:tcW w:w="3222" w:type="dxa"/>
          </w:tcPr>
          <w:p w:rsidR="007354A0" w:rsidRPr="00390B34" w:rsidRDefault="007354A0" w:rsidP="007748BB">
            <w:pPr>
              <w:spacing w:line="360" w:lineRule="auto"/>
              <w:jc w:val="center"/>
              <w:rPr>
                <w:rFonts w:ascii="Times New Roman" w:hAnsi="Times New Roman" w:cs="Times New Roman"/>
                <w:sz w:val="26"/>
                <w:szCs w:val="26"/>
              </w:rPr>
            </w:pPr>
            <w:r w:rsidRPr="00390B34">
              <w:rPr>
                <w:rFonts w:ascii="Times New Roman" w:hAnsi="Times New Roman" w:cs="Times New Roman"/>
                <w:sz w:val="26"/>
                <w:szCs w:val="26"/>
              </w:rPr>
              <w:t>Bệnh nhân suy thận nặng( độ thanh thải CLCR&lt; 30 ml/ phút)</w:t>
            </w:r>
          </w:p>
        </w:tc>
        <w:tc>
          <w:tcPr>
            <w:tcW w:w="2976" w:type="dxa"/>
          </w:tcPr>
          <w:p w:rsidR="007354A0" w:rsidRPr="00390B34" w:rsidRDefault="00D24041" w:rsidP="007748BB">
            <w:pPr>
              <w:spacing w:line="360" w:lineRule="auto"/>
              <w:jc w:val="center"/>
              <w:rPr>
                <w:rFonts w:ascii="Times New Roman" w:hAnsi="Times New Roman" w:cs="Times New Roman"/>
                <w:sz w:val="26"/>
                <w:szCs w:val="26"/>
              </w:rPr>
            </w:pPr>
            <w:r w:rsidRPr="00390B34">
              <w:rPr>
                <w:rFonts w:ascii="Times New Roman" w:hAnsi="Times New Roman" w:cs="Times New Roman"/>
                <w:sz w:val="26"/>
                <w:szCs w:val="26"/>
              </w:rPr>
              <w:t>Bệnh nhân suy gan</w:t>
            </w:r>
          </w:p>
        </w:tc>
      </w:tr>
      <w:tr w:rsidR="007354A0" w:rsidRPr="00390B34" w:rsidTr="00A324ED">
        <w:trPr>
          <w:jc w:val="center"/>
        </w:trPr>
        <w:tc>
          <w:tcPr>
            <w:tcW w:w="3087" w:type="dxa"/>
          </w:tcPr>
          <w:p w:rsidR="007354A0" w:rsidRPr="00390B34" w:rsidRDefault="007354A0" w:rsidP="007748BB">
            <w:pPr>
              <w:spacing w:line="360" w:lineRule="auto"/>
              <w:ind w:firstLine="338"/>
              <w:jc w:val="both"/>
              <w:rPr>
                <w:rFonts w:ascii="Times New Roman" w:hAnsi="Times New Roman" w:cs="Times New Roman"/>
                <w:sz w:val="26"/>
                <w:szCs w:val="26"/>
              </w:rPr>
            </w:pPr>
            <w:r w:rsidRPr="00390B34">
              <w:rPr>
                <w:rFonts w:ascii="Times New Roman" w:hAnsi="Times New Roman" w:cs="Times New Roman"/>
                <w:sz w:val="26"/>
                <w:szCs w:val="26"/>
              </w:rPr>
              <w:t>Trẻ sinh non dưới 7 ngày tuổi( tuổi thai dưới 34 tuần) có độ thanh thải toàn thân của Linezolid thấp hơn và giá trị diện tích dưới đường cong AUC lớn hơn nhiều so với trẻ sinh đủ tháng và trẻ sơ sinh lớn hơn. Ở ngày tuổi thứ 7, độ thanh thải của linezolid và giá trị AUC tương tự như với trẻ sơ sinh đủ tháng và trẻ sơ sinh lớn hơn.</w:t>
            </w:r>
          </w:p>
        </w:tc>
        <w:tc>
          <w:tcPr>
            <w:tcW w:w="2551" w:type="dxa"/>
          </w:tcPr>
          <w:p w:rsidR="007354A0" w:rsidRPr="00390B34" w:rsidRDefault="007354A0" w:rsidP="007748BB">
            <w:pPr>
              <w:spacing w:line="360" w:lineRule="auto"/>
              <w:ind w:firstLine="372"/>
              <w:jc w:val="both"/>
              <w:rPr>
                <w:rFonts w:ascii="Times New Roman" w:hAnsi="Times New Roman" w:cs="Times New Roman"/>
                <w:sz w:val="26"/>
                <w:szCs w:val="26"/>
              </w:rPr>
            </w:pPr>
            <w:r w:rsidRPr="00390B34">
              <w:rPr>
                <w:rFonts w:ascii="Times New Roman" w:hAnsi="Times New Roman" w:cs="Times New Roman"/>
                <w:sz w:val="26"/>
                <w:szCs w:val="26"/>
              </w:rPr>
              <w:t>Không cần thiết chỉnh liều ở đối tượng này</w:t>
            </w:r>
          </w:p>
        </w:tc>
        <w:tc>
          <w:tcPr>
            <w:tcW w:w="2126" w:type="dxa"/>
          </w:tcPr>
          <w:p w:rsidR="007354A0" w:rsidRPr="00390B34" w:rsidRDefault="007354A0" w:rsidP="007748BB">
            <w:pPr>
              <w:spacing w:line="360" w:lineRule="auto"/>
              <w:ind w:firstLine="372"/>
              <w:jc w:val="both"/>
              <w:rPr>
                <w:rFonts w:ascii="Times New Roman" w:hAnsi="Times New Roman" w:cs="Times New Roman"/>
                <w:sz w:val="26"/>
                <w:szCs w:val="26"/>
              </w:rPr>
            </w:pPr>
            <w:r w:rsidRPr="00390B34">
              <w:rPr>
                <w:rFonts w:ascii="Times New Roman" w:hAnsi="Times New Roman" w:cs="Times New Roman"/>
                <w:sz w:val="26"/>
                <w:szCs w:val="26"/>
              </w:rPr>
              <w:t>Không cần thiết chỉnh liều ở đối tượng này</w:t>
            </w:r>
          </w:p>
        </w:tc>
        <w:tc>
          <w:tcPr>
            <w:tcW w:w="3222" w:type="dxa"/>
          </w:tcPr>
          <w:p w:rsidR="007354A0" w:rsidRPr="00390B34" w:rsidRDefault="00D24041" w:rsidP="007748BB">
            <w:pPr>
              <w:spacing w:line="360" w:lineRule="auto"/>
              <w:ind w:firstLine="514"/>
              <w:jc w:val="both"/>
              <w:rPr>
                <w:rFonts w:ascii="Times New Roman" w:hAnsi="Times New Roman" w:cs="Times New Roman"/>
                <w:sz w:val="26"/>
                <w:szCs w:val="26"/>
              </w:rPr>
            </w:pPr>
            <w:r w:rsidRPr="00390B34">
              <w:rPr>
                <w:rFonts w:ascii="Times New Roman" w:hAnsi="Times New Roman" w:cs="Times New Roman"/>
                <w:sz w:val="26"/>
                <w:szCs w:val="26"/>
              </w:rPr>
              <w:t>Không cần hiệu chỉnh liều. Do chưa biết ý nghĩa lâm sàng của sự tiếp xúc cao hơn( lên đến 10 lần) với hai chất chuyển hoá chính của linezolid ở bệnh nhân suy thận nặng, linezolid nên được sử dụng đặc biệt ở những bệnh nhân suy thận nặng và chỉ sử dụng khi lợi ích cao hơn nguy cơ có thể xảy ra.</w:t>
            </w:r>
          </w:p>
        </w:tc>
        <w:tc>
          <w:tcPr>
            <w:tcW w:w="2976" w:type="dxa"/>
          </w:tcPr>
          <w:p w:rsidR="007354A0" w:rsidRPr="00390B34" w:rsidRDefault="00D24041" w:rsidP="007748BB">
            <w:pPr>
              <w:spacing w:line="360" w:lineRule="auto"/>
              <w:ind w:firstLine="372"/>
              <w:jc w:val="both"/>
              <w:rPr>
                <w:rFonts w:ascii="Times New Roman" w:hAnsi="Times New Roman" w:cs="Times New Roman"/>
                <w:sz w:val="26"/>
                <w:szCs w:val="26"/>
              </w:rPr>
            </w:pPr>
            <w:r w:rsidRPr="00390B34">
              <w:rPr>
                <w:rFonts w:ascii="Times New Roman" w:hAnsi="Times New Roman" w:cs="Times New Roman"/>
                <w:sz w:val="26"/>
                <w:szCs w:val="26"/>
              </w:rPr>
              <w:t>Không cần chỉnh liều ở bệnh nhân suy gan. Tuy nhiên dữ liệu lâm sàng còn hạn chế, chỉ nên sử dụng linezolid ở nhóm bệnh nhân này khi lợi ích dự kiến mang lại cao hơn nguy cơ có thể xảy ra.</w:t>
            </w:r>
          </w:p>
        </w:tc>
      </w:tr>
    </w:tbl>
    <w:p w:rsidR="00CF3D11" w:rsidRPr="00390B34" w:rsidRDefault="00CF3D11" w:rsidP="00AB6AF9">
      <w:pPr>
        <w:rPr>
          <w:rFonts w:ascii="Times New Roman" w:hAnsi="Times New Roman" w:cs="Times New Roman"/>
          <w:sz w:val="26"/>
          <w:szCs w:val="26"/>
        </w:rPr>
        <w:sectPr w:rsidR="00CF3D11" w:rsidRPr="00390B34" w:rsidSect="003A2317">
          <w:pgSz w:w="16838" w:h="11906" w:orient="landscape"/>
          <w:pgMar w:top="1701" w:right="1134" w:bottom="1134" w:left="1134" w:header="709" w:footer="709" w:gutter="0"/>
          <w:cols w:space="708"/>
          <w:docGrid w:linePitch="360"/>
        </w:sectPr>
      </w:pPr>
    </w:p>
    <w:p w:rsidR="00CF3D11" w:rsidRPr="00390B34" w:rsidRDefault="003E6012" w:rsidP="0087390A">
      <w:pPr>
        <w:ind w:firstLine="567"/>
        <w:rPr>
          <w:rFonts w:ascii="Times New Roman" w:hAnsi="Times New Roman" w:cs="Times New Roman"/>
          <w:sz w:val="26"/>
          <w:szCs w:val="26"/>
        </w:rPr>
      </w:pPr>
      <w:r w:rsidRPr="00390B34">
        <w:rPr>
          <w:rFonts w:ascii="Times New Roman" w:hAnsi="Times New Roman" w:cs="Times New Roman"/>
          <w:sz w:val="26"/>
          <w:szCs w:val="26"/>
        </w:rPr>
        <w:lastRenderedPageBreak/>
        <w:t>- Cách dùng: dùng đường truyền tĩnh mạch</w:t>
      </w:r>
    </w:p>
    <w:p w:rsidR="003E6012" w:rsidRPr="00390B34" w:rsidRDefault="003E6012" w:rsidP="0087390A">
      <w:pPr>
        <w:ind w:firstLine="567"/>
        <w:rPr>
          <w:rFonts w:ascii="Times New Roman" w:hAnsi="Times New Roman" w:cs="Times New Roman"/>
          <w:sz w:val="26"/>
          <w:szCs w:val="26"/>
        </w:rPr>
      </w:pPr>
      <w:r w:rsidRPr="00390B34">
        <w:rPr>
          <w:rFonts w:ascii="Times New Roman" w:hAnsi="Times New Roman" w:cs="Times New Roman"/>
          <w:sz w:val="26"/>
          <w:szCs w:val="26"/>
        </w:rPr>
        <w:t xml:space="preserve">Dung dịch để truyền nên được truyền tĩnh mạch trong thời gian 30 đến 120 phút. </w:t>
      </w:r>
    </w:p>
    <w:p w:rsidR="003E6012" w:rsidRPr="00390B34" w:rsidRDefault="003E6012" w:rsidP="0087390A">
      <w:pPr>
        <w:ind w:firstLine="567"/>
        <w:rPr>
          <w:rFonts w:ascii="Times New Roman" w:hAnsi="Times New Roman" w:cs="Times New Roman"/>
          <w:sz w:val="26"/>
          <w:szCs w:val="26"/>
        </w:rPr>
      </w:pPr>
      <w:r w:rsidRPr="00390B34">
        <w:rPr>
          <w:rFonts w:ascii="Times New Roman" w:hAnsi="Times New Roman" w:cs="Times New Roman"/>
          <w:sz w:val="26"/>
          <w:szCs w:val="26"/>
        </w:rPr>
        <w:t>Không sử dụng túi truyền tichx mạch kết nối với các túi/ chai truyền tĩnh mạch khác.</w:t>
      </w:r>
    </w:p>
    <w:p w:rsidR="003E6012" w:rsidRPr="00390B34" w:rsidRDefault="003E6012" w:rsidP="0087390A">
      <w:pPr>
        <w:ind w:firstLine="567"/>
        <w:rPr>
          <w:rFonts w:ascii="Times New Roman" w:hAnsi="Times New Roman" w:cs="Times New Roman"/>
          <w:sz w:val="26"/>
          <w:szCs w:val="26"/>
        </w:rPr>
      </w:pPr>
      <w:r w:rsidRPr="00390B34">
        <w:rPr>
          <w:rFonts w:ascii="Times New Roman" w:hAnsi="Times New Roman" w:cs="Times New Roman"/>
          <w:sz w:val="26"/>
          <w:szCs w:val="26"/>
        </w:rPr>
        <w:t>Không thêm các chất khác vào dung dịch truyền tĩnh mạch.</w:t>
      </w:r>
    </w:p>
    <w:p w:rsidR="003E6012" w:rsidRPr="00390B34" w:rsidRDefault="003E6012" w:rsidP="0087390A">
      <w:pPr>
        <w:ind w:firstLine="567"/>
        <w:rPr>
          <w:rFonts w:ascii="Times New Roman" w:hAnsi="Times New Roman" w:cs="Times New Roman"/>
          <w:sz w:val="26"/>
          <w:szCs w:val="26"/>
        </w:rPr>
      </w:pPr>
      <w:r w:rsidRPr="00390B34">
        <w:rPr>
          <w:rFonts w:ascii="Times New Roman" w:hAnsi="Times New Roman" w:cs="Times New Roman"/>
          <w:sz w:val="26"/>
          <w:szCs w:val="26"/>
        </w:rPr>
        <w:t>Nếu linezolid truyền tĩnh mạch được dùng đồng thời với các thuốc khác, các thuốc nên dùng riêng rẽ, phù hợp với liều khuyến cáo và đường dùng của mỗi thuốc</w:t>
      </w:r>
    </w:p>
    <w:p w:rsidR="00326FE9" w:rsidRPr="00390B34" w:rsidRDefault="00326FE9" w:rsidP="0087390A">
      <w:pPr>
        <w:ind w:firstLine="567"/>
        <w:rPr>
          <w:rFonts w:ascii="Times New Roman" w:hAnsi="Times New Roman" w:cs="Times New Roman"/>
          <w:sz w:val="26"/>
          <w:szCs w:val="26"/>
        </w:rPr>
      </w:pPr>
      <w:r w:rsidRPr="00390B34">
        <w:rPr>
          <w:rFonts w:ascii="Times New Roman" w:hAnsi="Times New Roman" w:cs="Times New Roman"/>
          <w:sz w:val="26"/>
          <w:szCs w:val="26"/>
        </w:rPr>
        <w:t>Các loại dịch truyền tương hợp: dextrose 5%, natri clorid 0.9%, ringer lactat</w:t>
      </w:r>
    </w:p>
    <w:p w:rsidR="00AB6AF9" w:rsidRPr="00390B34" w:rsidRDefault="00AB6AF9" w:rsidP="0087390A">
      <w:pPr>
        <w:ind w:firstLine="567"/>
        <w:jc w:val="both"/>
        <w:rPr>
          <w:rFonts w:ascii="Times New Roman" w:hAnsi="Times New Roman" w:cs="Times New Roman"/>
          <w:b/>
          <w:sz w:val="26"/>
          <w:szCs w:val="26"/>
        </w:rPr>
      </w:pPr>
      <w:r w:rsidRPr="00390B34">
        <w:rPr>
          <w:rFonts w:ascii="Times New Roman" w:hAnsi="Times New Roman" w:cs="Times New Roman"/>
          <w:b/>
          <w:sz w:val="26"/>
          <w:szCs w:val="26"/>
        </w:rPr>
        <w:t>- Chống chỉ định:</w:t>
      </w:r>
    </w:p>
    <w:p w:rsidR="00326FE9" w:rsidRPr="00390B34" w:rsidRDefault="005659F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Mẫn cảm với linezolid hoặc bất cứ thành phần nào của tá dược</w:t>
      </w:r>
    </w:p>
    <w:p w:rsidR="005659F1" w:rsidRPr="00390B34" w:rsidRDefault="005659F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Không sử dụng linezolid cho các bệnh nhân đang dùng các thuốc ức chế monoamin oxdase A hoặc B hoặc đã sử dụng các thuốc này trong vòng 2 tuần trước khi sử dụng linezolid.</w:t>
      </w:r>
    </w:p>
    <w:p w:rsidR="005659F1" w:rsidRPr="00390B34" w:rsidRDefault="00B351C5"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Trừ khi có phương tiện để theo dõi và giám sát chặ</w:t>
      </w:r>
      <w:r w:rsidR="00E00289" w:rsidRPr="00390B34">
        <w:rPr>
          <w:rFonts w:ascii="Times New Roman" w:hAnsi="Times New Roman" w:cs="Times New Roman"/>
          <w:sz w:val="26"/>
          <w:szCs w:val="26"/>
        </w:rPr>
        <w:t>t chẻ</w:t>
      </w:r>
      <w:r w:rsidRPr="00390B34">
        <w:rPr>
          <w:rFonts w:ascii="Times New Roman" w:hAnsi="Times New Roman" w:cs="Times New Roman"/>
          <w:sz w:val="26"/>
          <w:szCs w:val="26"/>
        </w:rPr>
        <w:t xml:space="preserve"> huyết </w:t>
      </w:r>
      <w:r w:rsidR="00844D57" w:rsidRPr="00390B34">
        <w:rPr>
          <w:rFonts w:ascii="Times New Roman" w:hAnsi="Times New Roman" w:cs="Times New Roman"/>
          <w:sz w:val="26"/>
          <w:szCs w:val="26"/>
        </w:rPr>
        <w:t>áp, không dùng linezolid cho các bệnh nhân có những bệnh cảnh nền hoặc đang điều trị với các thuốc dùng đồng thời sau đây:</w:t>
      </w:r>
    </w:p>
    <w:p w:rsidR="00844D57" w:rsidRPr="00390B34" w:rsidRDefault="00844D57"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Bệnh nhân tăng huyết áp không kiểm soát được, các bệnh nhân có u tế báo ưa Crom, u ung thư, nhiễm độc do tuyến giáp, trầm cảm lưỡng cực, bệnh tâm thần phân liệt, trạng thái lú lẫn cấp tính.</w:t>
      </w:r>
    </w:p>
    <w:p w:rsidR="00844D57" w:rsidRPr="00390B34" w:rsidRDefault="00844D57"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 Bệnh nhân đang dùng bất cứ thuốc nào sau đây: thuốc tái hấp thu serotonin, các thuốc chống trần cảm ba vòng, các thuốc kháng thụ thể serotonin 5-HT, các thuốc cường giao cảm trực tiếp hoặc gián tiếp, các thuốc co mạch</w:t>
      </w:r>
      <w:r w:rsidR="008B16F9" w:rsidRPr="00390B34">
        <w:rPr>
          <w:rFonts w:ascii="Times New Roman" w:hAnsi="Times New Roman" w:cs="Times New Roman"/>
          <w:sz w:val="26"/>
          <w:szCs w:val="26"/>
        </w:rPr>
        <w:t>, các thuốc có tác dụng tương tự dopamin, pethidin hoặc buspiron.</w:t>
      </w:r>
    </w:p>
    <w:p w:rsidR="008B16F9" w:rsidRPr="00390B34" w:rsidRDefault="008B16F9"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Các dữ liệu nghiên cứu trên động vật cho thấy linezolid và các chất chuyển hoá của nó có thể chuyển vào sữa mẹ và vì thế nên dừng việc cho con bú sữa mẹ trước và trong khi dùng thuốc.</w:t>
      </w:r>
    </w:p>
    <w:p w:rsidR="00AB6AF9" w:rsidRPr="00390B34" w:rsidRDefault="000A544D" w:rsidP="0087390A">
      <w:pPr>
        <w:ind w:firstLine="567"/>
        <w:jc w:val="both"/>
        <w:rPr>
          <w:rFonts w:ascii="Times New Roman" w:hAnsi="Times New Roman" w:cs="Times New Roman"/>
          <w:b/>
          <w:sz w:val="26"/>
          <w:szCs w:val="26"/>
        </w:rPr>
      </w:pPr>
      <w:r w:rsidRPr="00390B34">
        <w:rPr>
          <w:rFonts w:ascii="Times New Roman" w:hAnsi="Times New Roman" w:cs="Times New Roman"/>
          <w:b/>
          <w:sz w:val="26"/>
          <w:szCs w:val="26"/>
        </w:rPr>
        <w:t>- Tương tác, tương kỵ của thuốc:</w:t>
      </w:r>
    </w:p>
    <w:p w:rsidR="000A544D" w:rsidRPr="00390B34" w:rsidRDefault="00CB469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Chất ức chế monoamin oxidase.</w:t>
      </w:r>
    </w:p>
    <w:p w:rsidR="00CB4691" w:rsidRPr="00390B34" w:rsidRDefault="00CB469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Khả năng tương tác với thuốc gây tăng huyết áp.</w:t>
      </w:r>
    </w:p>
    <w:p w:rsidR="00CB4691" w:rsidRPr="00390B34" w:rsidRDefault="00CB469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Khả năng tương tác với serotonin</w:t>
      </w:r>
    </w:p>
    <w:p w:rsidR="00CB4691" w:rsidRPr="00390B34" w:rsidRDefault="00CB4691"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Sử dụng cùng với các thực phẩm giàu tyramin.</w:t>
      </w:r>
      <w:r w:rsidR="007748BB" w:rsidRPr="00390B34">
        <w:rPr>
          <w:rFonts w:ascii="Times New Roman" w:hAnsi="Times New Roman" w:cs="Times New Roman"/>
          <w:sz w:val="26"/>
          <w:szCs w:val="26"/>
        </w:rPr>
        <w:t>.</w:t>
      </w:r>
    </w:p>
    <w:p w:rsidR="007748BB" w:rsidRPr="00390B34" w:rsidRDefault="007748BB"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lastRenderedPageBreak/>
        <w:t>Các thuốc được chuyển hoá bởi Cytochrom P450</w:t>
      </w:r>
    </w:p>
    <w:p w:rsidR="007748BB" w:rsidRPr="00390B34" w:rsidRDefault="007748BB"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Rifampicin</w:t>
      </w:r>
    </w:p>
    <w:p w:rsidR="00CB4691" w:rsidRPr="00390B34" w:rsidRDefault="007748BB" w:rsidP="0087390A">
      <w:pPr>
        <w:ind w:firstLine="567"/>
        <w:jc w:val="both"/>
        <w:rPr>
          <w:rFonts w:ascii="Times New Roman" w:hAnsi="Times New Roman" w:cs="Times New Roman"/>
          <w:sz w:val="26"/>
          <w:szCs w:val="26"/>
        </w:rPr>
      </w:pPr>
      <w:r w:rsidRPr="00390B34">
        <w:rPr>
          <w:rFonts w:ascii="Times New Roman" w:hAnsi="Times New Roman" w:cs="Times New Roman"/>
          <w:sz w:val="26"/>
          <w:szCs w:val="26"/>
        </w:rPr>
        <w:t>Warfarin</w:t>
      </w:r>
    </w:p>
    <w:p w:rsidR="00AB6AF9" w:rsidRPr="00390B34" w:rsidRDefault="00AB6AF9" w:rsidP="0087390A">
      <w:pPr>
        <w:ind w:firstLine="567"/>
        <w:jc w:val="both"/>
        <w:rPr>
          <w:rFonts w:ascii="Times New Roman" w:hAnsi="Times New Roman" w:cs="Times New Roman"/>
          <w:sz w:val="26"/>
          <w:szCs w:val="26"/>
        </w:rPr>
      </w:pPr>
      <w:r w:rsidRPr="00390B34">
        <w:rPr>
          <w:rFonts w:ascii="Times New Roman" w:hAnsi="Times New Roman" w:cs="Times New Roman"/>
          <w:b/>
          <w:sz w:val="26"/>
          <w:szCs w:val="26"/>
        </w:rPr>
        <w:t>- Tài liệu tham khảo:</w:t>
      </w:r>
      <w:r w:rsidRPr="00390B34">
        <w:rPr>
          <w:rFonts w:ascii="Times New Roman" w:hAnsi="Times New Roman" w:cs="Times New Roman"/>
          <w:sz w:val="26"/>
          <w:szCs w:val="26"/>
        </w:rPr>
        <w:t xml:space="preserve"> tờ hướng dẫn sử dụ</w:t>
      </w:r>
      <w:r w:rsidR="007748BB" w:rsidRPr="00390B34">
        <w:rPr>
          <w:rFonts w:ascii="Times New Roman" w:hAnsi="Times New Roman" w:cs="Times New Roman"/>
          <w:sz w:val="26"/>
          <w:szCs w:val="26"/>
        </w:rPr>
        <w:t>ng NIRZOLID</w:t>
      </w:r>
      <w:r w:rsidRPr="00390B34">
        <w:rPr>
          <w:rFonts w:ascii="Times New Roman" w:hAnsi="Times New Roman" w:cs="Times New Roman"/>
          <w:sz w:val="26"/>
          <w:szCs w:val="26"/>
        </w:rPr>
        <w:t xml:space="preserve"> của công ty dược </w:t>
      </w:r>
      <w:r w:rsidR="007748BB" w:rsidRPr="00390B34">
        <w:rPr>
          <w:rFonts w:ascii="Times New Roman" w:hAnsi="Times New Roman" w:cs="Times New Roman"/>
          <w:sz w:val="26"/>
          <w:szCs w:val="26"/>
        </w:rPr>
        <w:t>ACULIFR Ấn Độ</w:t>
      </w:r>
      <w:r w:rsidRPr="00390B34">
        <w:rPr>
          <w:rFonts w:ascii="Times New Roman" w:hAnsi="Times New Roman" w:cs="Times New Roman"/>
          <w:sz w:val="26"/>
          <w:szCs w:val="26"/>
        </w:rPr>
        <w:t>.</w:t>
      </w:r>
    </w:p>
    <w:sectPr w:rsidR="00AB6AF9" w:rsidRPr="00390B34" w:rsidSect="003A23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F3" w:rsidRDefault="004743F3" w:rsidP="00844D57">
      <w:pPr>
        <w:spacing w:after="0" w:line="240" w:lineRule="auto"/>
      </w:pPr>
      <w:r>
        <w:separator/>
      </w:r>
    </w:p>
  </w:endnote>
  <w:endnote w:type="continuationSeparator" w:id="0">
    <w:p w:rsidR="004743F3" w:rsidRDefault="004743F3" w:rsidP="0084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9384"/>
      <w:docPartObj>
        <w:docPartGallery w:val="Page Numbers (Bottom of Page)"/>
        <w:docPartUnique/>
      </w:docPartObj>
    </w:sdtPr>
    <w:sdtEndPr/>
    <w:sdtContent>
      <w:p w:rsidR="00EF7668" w:rsidRDefault="009B5EB0">
        <w:pPr>
          <w:pStyle w:val="Footer"/>
          <w:jc w:val="center"/>
        </w:pPr>
        <w:r>
          <w:fldChar w:fldCharType="begin"/>
        </w:r>
        <w:r>
          <w:instrText xml:space="preserve"> PAGE   \* MERGEFORMAT </w:instrText>
        </w:r>
        <w:r>
          <w:fldChar w:fldCharType="separate"/>
        </w:r>
        <w:r w:rsidR="00A324ED">
          <w:rPr>
            <w:noProof/>
          </w:rPr>
          <w:t>3</w:t>
        </w:r>
        <w:r>
          <w:rPr>
            <w:noProof/>
          </w:rPr>
          <w:fldChar w:fldCharType="end"/>
        </w:r>
      </w:p>
    </w:sdtContent>
  </w:sdt>
  <w:p w:rsidR="00EF7668" w:rsidRDefault="00EF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F3" w:rsidRDefault="004743F3" w:rsidP="00844D57">
      <w:pPr>
        <w:spacing w:after="0" w:line="240" w:lineRule="auto"/>
      </w:pPr>
      <w:r>
        <w:separator/>
      </w:r>
    </w:p>
  </w:footnote>
  <w:footnote w:type="continuationSeparator" w:id="0">
    <w:p w:rsidR="004743F3" w:rsidRDefault="004743F3" w:rsidP="00844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7304"/>
    <w:multiLevelType w:val="hybridMultilevel"/>
    <w:tmpl w:val="28942C6E"/>
    <w:lvl w:ilvl="0" w:tplc="363E6A4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F9"/>
    <w:rsid w:val="000138F8"/>
    <w:rsid w:val="000A544D"/>
    <w:rsid w:val="001D2376"/>
    <w:rsid w:val="00257ECF"/>
    <w:rsid w:val="00292D21"/>
    <w:rsid w:val="00326FE9"/>
    <w:rsid w:val="00365E85"/>
    <w:rsid w:val="00390B34"/>
    <w:rsid w:val="003A2317"/>
    <w:rsid w:val="003E3293"/>
    <w:rsid w:val="003E6012"/>
    <w:rsid w:val="004743F3"/>
    <w:rsid w:val="00491C6A"/>
    <w:rsid w:val="005125AF"/>
    <w:rsid w:val="005369BC"/>
    <w:rsid w:val="005659F1"/>
    <w:rsid w:val="005D3903"/>
    <w:rsid w:val="00616421"/>
    <w:rsid w:val="006E3241"/>
    <w:rsid w:val="007354A0"/>
    <w:rsid w:val="007748BB"/>
    <w:rsid w:val="00786267"/>
    <w:rsid w:val="007B11A4"/>
    <w:rsid w:val="00844D57"/>
    <w:rsid w:val="0087390A"/>
    <w:rsid w:val="008B16F9"/>
    <w:rsid w:val="009A230F"/>
    <w:rsid w:val="009B5EB0"/>
    <w:rsid w:val="00A324ED"/>
    <w:rsid w:val="00AB00EA"/>
    <w:rsid w:val="00AB6AF9"/>
    <w:rsid w:val="00B351C5"/>
    <w:rsid w:val="00C0563E"/>
    <w:rsid w:val="00C25BAB"/>
    <w:rsid w:val="00CB4691"/>
    <w:rsid w:val="00CF3D11"/>
    <w:rsid w:val="00D24041"/>
    <w:rsid w:val="00E00289"/>
    <w:rsid w:val="00EF7668"/>
    <w:rsid w:val="00F07838"/>
    <w:rsid w:val="00F2049F"/>
    <w:rsid w:val="00F220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B6AF9"/>
    <w:rPr>
      <w:color w:val="0000FF"/>
      <w:u w:val="single"/>
    </w:rPr>
  </w:style>
  <w:style w:type="paragraph" w:styleId="NormalWeb">
    <w:name w:val="Normal (Web)"/>
    <w:basedOn w:val="Normal"/>
    <w:uiPriority w:val="99"/>
    <w:semiHidden/>
    <w:unhideWhenUsed/>
    <w:rsid w:val="00AB6AF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B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F9"/>
    <w:rPr>
      <w:rFonts w:ascii="Tahoma" w:hAnsi="Tahoma" w:cs="Tahoma"/>
      <w:sz w:val="16"/>
      <w:szCs w:val="16"/>
    </w:rPr>
  </w:style>
  <w:style w:type="paragraph" w:styleId="ListParagraph">
    <w:name w:val="List Paragraph"/>
    <w:basedOn w:val="Normal"/>
    <w:uiPriority w:val="34"/>
    <w:qFormat/>
    <w:rsid w:val="00F07838"/>
    <w:pPr>
      <w:ind w:left="720"/>
      <w:contextualSpacing/>
    </w:pPr>
  </w:style>
  <w:style w:type="paragraph" w:styleId="Header">
    <w:name w:val="header"/>
    <w:basedOn w:val="Normal"/>
    <w:link w:val="HeaderChar"/>
    <w:uiPriority w:val="99"/>
    <w:semiHidden/>
    <w:unhideWhenUsed/>
    <w:rsid w:val="00844D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4D57"/>
  </w:style>
  <w:style w:type="paragraph" w:styleId="Footer">
    <w:name w:val="footer"/>
    <w:basedOn w:val="Normal"/>
    <w:link w:val="FooterChar"/>
    <w:uiPriority w:val="99"/>
    <w:unhideWhenUsed/>
    <w:rsid w:val="00844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B6AF9"/>
    <w:rPr>
      <w:color w:val="0000FF"/>
      <w:u w:val="single"/>
    </w:rPr>
  </w:style>
  <w:style w:type="paragraph" w:styleId="NormalWeb">
    <w:name w:val="Normal (Web)"/>
    <w:basedOn w:val="Normal"/>
    <w:uiPriority w:val="99"/>
    <w:semiHidden/>
    <w:unhideWhenUsed/>
    <w:rsid w:val="00AB6AF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B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F9"/>
    <w:rPr>
      <w:rFonts w:ascii="Tahoma" w:hAnsi="Tahoma" w:cs="Tahoma"/>
      <w:sz w:val="16"/>
      <w:szCs w:val="16"/>
    </w:rPr>
  </w:style>
  <w:style w:type="paragraph" w:styleId="ListParagraph">
    <w:name w:val="List Paragraph"/>
    <w:basedOn w:val="Normal"/>
    <w:uiPriority w:val="34"/>
    <w:qFormat/>
    <w:rsid w:val="00F07838"/>
    <w:pPr>
      <w:ind w:left="720"/>
      <w:contextualSpacing/>
    </w:pPr>
  </w:style>
  <w:style w:type="paragraph" w:styleId="Header">
    <w:name w:val="header"/>
    <w:basedOn w:val="Normal"/>
    <w:link w:val="HeaderChar"/>
    <w:uiPriority w:val="99"/>
    <w:semiHidden/>
    <w:unhideWhenUsed/>
    <w:rsid w:val="00844D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4D57"/>
  </w:style>
  <w:style w:type="paragraph" w:styleId="Footer">
    <w:name w:val="footer"/>
    <w:basedOn w:val="Normal"/>
    <w:link w:val="FooterChar"/>
    <w:uiPriority w:val="99"/>
    <w:unhideWhenUsed/>
    <w:rsid w:val="00844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978DF-BFBA-4109-A840-729B988C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4</cp:revision>
  <cp:lastPrinted>2024-04-16T01:51:00Z</cp:lastPrinted>
  <dcterms:created xsi:type="dcterms:W3CDTF">2024-05-09T01:55:00Z</dcterms:created>
  <dcterms:modified xsi:type="dcterms:W3CDTF">2024-05-09T07:05:00Z</dcterms:modified>
</cp:coreProperties>
</file>