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7C554B" w:rsidTr="007C554B">
        <w:tc>
          <w:tcPr>
            <w:tcW w:w="3369" w:type="dxa"/>
          </w:tcPr>
          <w:p w:rsidR="007C554B" w:rsidRDefault="007C554B" w:rsidP="007C554B">
            <w:pPr>
              <w:spacing w:line="360" w:lineRule="auto"/>
              <w:jc w:val="center"/>
              <w:rPr>
                <w:rFonts w:ascii="Times New Roman" w:hAnsi="Times New Roman" w:cs="Times New Roman"/>
                <w:sz w:val="26"/>
                <w:szCs w:val="26"/>
              </w:rPr>
            </w:pPr>
            <w:r w:rsidRPr="007C554B">
              <w:rPr>
                <w:rFonts w:ascii="Times New Roman" w:hAnsi="Times New Roman" w:cs="Times New Roman"/>
                <w:sz w:val="26"/>
                <w:szCs w:val="26"/>
              </w:rPr>
              <w:t>BỆNH VIỆN Đ</w:t>
            </w:r>
            <w:r>
              <w:rPr>
                <w:rFonts w:ascii="Times New Roman" w:hAnsi="Times New Roman" w:cs="Times New Roman"/>
                <w:sz w:val="26"/>
                <w:szCs w:val="26"/>
              </w:rPr>
              <w:t>A KHOA</w:t>
            </w:r>
          </w:p>
          <w:p w:rsidR="007C554B" w:rsidRPr="007C554B" w:rsidRDefault="007C554B" w:rsidP="007C554B">
            <w:pPr>
              <w:spacing w:line="360" w:lineRule="auto"/>
              <w:jc w:val="center"/>
              <w:rPr>
                <w:rFonts w:ascii="Times New Roman" w:hAnsi="Times New Roman" w:cs="Times New Roman"/>
                <w:sz w:val="26"/>
                <w:szCs w:val="26"/>
                <w:u w:val="single"/>
              </w:rPr>
            </w:pPr>
            <w:r w:rsidRPr="007C554B">
              <w:rPr>
                <w:rFonts w:ascii="Times New Roman" w:hAnsi="Times New Roman" w:cs="Times New Roman"/>
                <w:sz w:val="26"/>
                <w:szCs w:val="26"/>
                <w:u w:val="single"/>
              </w:rPr>
              <w:t>KHU VỰC ÂN CHÂU</w:t>
            </w:r>
          </w:p>
          <w:p w:rsidR="007C554B" w:rsidRDefault="007C554B" w:rsidP="007C554B">
            <w:pPr>
              <w:spacing w:line="360" w:lineRule="auto"/>
              <w:jc w:val="center"/>
              <w:rPr>
                <w:rFonts w:ascii="Times New Roman" w:hAnsi="Times New Roman" w:cs="Times New Roman"/>
                <w:sz w:val="26"/>
                <w:szCs w:val="26"/>
              </w:rPr>
            </w:pPr>
            <w:r w:rsidRPr="007C554B">
              <w:rPr>
                <w:rFonts w:ascii="Times New Roman" w:hAnsi="Times New Roman" w:cs="Times New Roman"/>
                <w:b/>
                <w:sz w:val="26"/>
                <w:szCs w:val="26"/>
              </w:rPr>
              <w:t>TỔ THÔNG TIN THUỐC</w:t>
            </w:r>
          </w:p>
        </w:tc>
        <w:tc>
          <w:tcPr>
            <w:tcW w:w="6095" w:type="dxa"/>
          </w:tcPr>
          <w:p w:rsidR="007C554B" w:rsidRDefault="007C554B" w:rsidP="007C554B">
            <w:pPr>
              <w:spacing w:line="360" w:lineRule="auto"/>
              <w:jc w:val="center"/>
              <w:rPr>
                <w:rFonts w:ascii="Times New Roman" w:hAnsi="Times New Roman" w:cs="Times New Roman"/>
                <w:b/>
                <w:sz w:val="26"/>
                <w:szCs w:val="26"/>
              </w:rPr>
            </w:pPr>
            <w:r w:rsidRPr="007C554B">
              <w:rPr>
                <w:rFonts w:ascii="Times New Roman" w:hAnsi="Times New Roman" w:cs="Times New Roman"/>
                <w:b/>
                <w:sz w:val="26"/>
                <w:szCs w:val="26"/>
              </w:rPr>
              <w:t>CỘNG HOÀ XÃ HỘI CHỦ NGHĨA VIỆT NAM</w:t>
            </w:r>
          </w:p>
          <w:p w:rsidR="007C554B" w:rsidRDefault="007C554B" w:rsidP="007C554B">
            <w:pPr>
              <w:spacing w:line="360" w:lineRule="auto"/>
              <w:jc w:val="center"/>
              <w:rPr>
                <w:rFonts w:ascii="Times New Roman" w:hAnsi="Times New Roman" w:cs="Times New Roman"/>
                <w:b/>
                <w:sz w:val="26"/>
                <w:szCs w:val="26"/>
                <w:u w:val="single"/>
              </w:rPr>
            </w:pPr>
            <w:r w:rsidRPr="007C554B">
              <w:rPr>
                <w:rFonts w:ascii="Times New Roman" w:hAnsi="Times New Roman" w:cs="Times New Roman"/>
                <w:b/>
                <w:sz w:val="26"/>
                <w:szCs w:val="26"/>
                <w:u w:val="single"/>
              </w:rPr>
              <w:t>Độc lập- Tự do- Hạnh phúc</w:t>
            </w:r>
          </w:p>
          <w:p w:rsidR="007C554B" w:rsidRPr="007C554B" w:rsidRDefault="007C554B" w:rsidP="007C554B">
            <w:pPr>
              <w:spacing w:line="360" w:lineRule="auto"/>
              <w:jc w:val="right"/>
              <w:rPr>
                <w:rFonts w:ascii="Times New Roman" w:hAnsi="Times New Roman" w:cs="Times New Roman"/>
                <w:i/>
                <w:sz w:val="26"/>
                <w:szCs w:val="26"/>
              </w:rPr>
            </w:pPr>
            <w:r w:rsidRPr="007C554B">
              <w:rPr>
                <w:rFonts w:ascii="Times New Roman" w:hAnsi="Times New Roman" w:cs="Times New Roman"/>
                <w:i/>
                <w:sz w:val="26"/>
                <w:szCs w:val="26"/>
              </w:rPr>
              <w:t>Tân Châu, ngày 2 tháng 7 năm 2024</w:t>
            </w:r>
          </w:p>
          <w:p w:rsidR="007C554B" w:rsidRDefault="007C554B" w:rsidP="007C554B">
            <w:pPr>
              <w:spacing w:line="360" w:lineRule="auto"/>
              <w:jc w:val="both"/>
              <w:rPr>
                <w:rFonts w:ascii="Times New Roman" w:hAnsi="Times New Roman" w:cs="Times New Roman"/>
                <w:sz w:val="26"/>
                <w:szCs w:val="26"/>
              </w:rPr>
            </w:pPr>
          </w:p>
        </w:tc>
      </w:tr>
    </w:tbl>
    <w:p w:rsidR="004B605E" w:rsidRPr="007C554B" w:rsidRDefault="004B605E" w:rsidP="007C554B">
      <w:pPr>
        <w:spacing w:after="0" w:line="360" w:lineRule="auto"/>
        <w:jc w:val="center"/>
        <w:rPr>
          <w:rFonts w:ascii="Times New Roman" w:hAnsi="Times New Roman" w:cs="Times New Roman"/>
          <w:b/>
          <w:sz w:val="28"/>
          <w:szCs w:val="28"/>
        </w:rPr>
      </w:pPr>
      <w:bookmarkStart w:id="0" w:name="_GoBack"/>
      <w:r w:rsidRPr="007C554B">
        <w:rPr>
          <w:rFonts w:ascii="Times New Roman" w:hAnsi="Times New Roman" w:cs="Times New Roman"/>
          <w:b/>
          <w:sz w:val="28"/>
          <w:szCs w:val="28"/>
        </w:rPr>
        <w:t>THÔNG TIN THUỐC THÁNG 07 NĂM 2024</w:t>
      </w:r>
    </w:p>
    <w:bookmarkEnd w:id="0"/>
    <w:p w:rsidR="007C554B" w:rsidRDefault="007C554B" w:rsidP="007C554B">
      <w:pPr>
        <w:spacing w:after="0" w:line="360" w:lineRule="auto"/>
        <w:jc w:val="center"/>
        <w:rPr>
          <w:rFonts w:ascii="Times New Roman" w:hAnsi="Times New Roman" w:cs="Times New Roman"/>
          <w:b/>
          <w:sz w:val="26"/>
          <w:szCs w:val="26"/>
        </w:rPr>
      </w:pPr>
    </w:p>
    <w:p w:rsidR="004B605E" w:rsidRPr="007C554B" w:rsidRDefault="004B605E" w:rsidP="007C554B">
      <w:pPr>
        <w:spacing w:after="0" w:line="360" w:lineRule="auto"/>
        <w:ind w:firstLine="567"/>
        <w:rPr>
          <w:rFonts w:ascii="Times New Roman" w:hAnsi="Times New Roman" w:cs="Times New Roman"/>
          <w:sz w:val="26"/>
          <w:szCs w:val="26"/>
        </w:rPr>
      </w:pPr>
      <w:r w:rsidRPr="007C554B">
        <w:rPr>
          <w:rFonts w:ascii="Times New Roman" w:eastAsia="Times New Roman" w:hAnsi="Times New Roman" w:cs="Times New Roman"/>
          <w:b/>
          <w:sz w:val="26"/>
          <w:szCs w:val="26"/>
          <w:lang w:eastAsia="vi-VN"/>
        </w:rPr>
        <w:t xml:space="preserve">HƯỚNG DẪN SỬ DỤNG THUỐC </w:t>
      </w:r>
      <w:r w:rsidRPr="007C554B">
        <w:rPr>
          <w:rFonts w:ascii="Times New Roman" w:hAnsi="Times New Roman" w:cs="Times New Roman"/>
          <w:b/>
          <w:sz w:val="26"/>
          <w:szCs w:val="26"/>
        </w:rPr>
        <w:t>CEFAZOLIN</w:t>
      </w:r>
    </w:p>
    <w:p w:rsidR="004B605E" w:rsidRPr="007C554B" w:rsidRDefault="004B605E" w:rsidP="007C554B">
      <w:pPr>
        <w:spacing w:after="0" w:line="360" w:lineRule="auto"/>
        <w:ind w:firstLine="567"/>
        <w:jc w:val="both"/>
        <w:rPr>
          <w:rFonts w:ascii="Times New Roman" w:hAnsi="Times New Roman" w:cs="Times New Roman"/>
          <w:sz w:val="26"/>
          <w:szCs w:val="26"/>
        </w:rPr>
      </w:pPr>
      <w:r w:rsidRPr="007C554B">
        <w:rPr>
          <w:rFonts w:ascii="Times New Roman" w:hAnsi="Times New Roman" w:cs="Times New Roman"/>
          <w:sz w:val="26"/>
          <w:szCs w:val="26"/>
        </w:rPr>
        <w:t xml:space="preserve">1- </w:t>
      </w:r>
      <w:r w:rsidRPr="007C554B">
        <w:rPr>
          <w:rFonts w:ascii="Times New Roman" w:hAnsi="Times New Roman" w:cs="Times New Roman"/>
          <w:b/>
          <w:sz w:val="26"/>
          <w:szCs w:val="26"/>
        </w:rPr>
        <w:t>Hoạt chất</w:t>
      </w:r>
      <w:r w:rsidRPr="007C554B">
        <w:rPr>
          <w:rFonts w:ascii="Times New Roman" w:hAnsi="Times New Roman" w:cs="Times New Roman"/>
          <w:sz w:val="26"/>
          <w:szCs w:val="26"/>
        </w:rPr>
        <w:t>: Cefazolin 1g</w:t>
      </w:r>
    </w:p>
    <w:p w:rsidR="004B605E" w:rsidRPr="007C554B" w:rsidRDefault="004B605E" w:rsidP="007C554B">
      <w:pPr>
        <w:spacing w:after="0" w:line="360" w:lineRule="auto"/>
        <w:ind w:firstLine="567"/>
        <w:jc w:val="both"/>
        <w:rPr>
          <w:rFonts w:ascii="Times New Roman" w:hAnsi="Times New Roman" w:cs="Times New Roman"/>
          <w:sz w:val="26"/>
          <w:szCs w:val="26"/>
        </w:rPr>
      </w:pPr>
      <w:r w:rsidRPr="007C554B">
        <w:rPr>
          <w:rFonts w:ascii="Times New Roman" w:hAnsi="Times New Roman" w:cs="Times New Roman"/>
          <w:sz w:val="26"/>
          <w:szCs w:val="26"/>
        </w:rPr>
        <w:t xml:space="preserve">2- </w:t>
      </w:r>
      <w:r w:rsidRPr="007C554B">
        <w:rPr>
          <w:rFonts w:ascii="Times New Roman" w:hAnsi="Times New Roman" w:cs="Times New Roman"/>
          <w:b/>
          <w:sz w:val="26"/>
          <w:szCs w:val="26"/>
        </w:rPr>
        <w:t>Chỉ định:</w:t>
      </w:r>
      <w:r w:rsidRPr="007C554B">
        <w:rPr>
          <w:rFonts w:ascii="Times New Roman" w:hAnsi="Times New Roman" w:cs="Times New Roman"/>
          <w:sz w:val="26"/>
          <w:szCs w:val="26"/>
        </w:rPr>
        <w:t xml:space="preserve"> Cefazolin được chỉ định trong điều trị các bệnh nhiễm khuẩn gây ra bởi các chuẩn vi khuẩn nhạy cảm, bao gồm:</w:t>
      </w:r>
    </w:p>
    <w:p w:rsidR="004B605E" w:rsidRPr="007C554B" w:rsidRDefault="004B605E" w:rsidP="007C554B">
      <w:pPr>
        <w:pStyle w:val="ListParagraph"/>
        <w:numPr>
          <w:ilvl w:val="0"/>
          <w:numId w:val="1"/>
        </w:numPr>
        <w:spacing w:after="0" w:line="360" w:lineRule="auto"/>
        <w:jc w:val="both"/>
        <w:rPr>
          <w:rFonts w:ascii="Times New Roman" w:hAnsi="Times New Roman" w:cs="Times New Roman"/>
          <w:sz w:val="26"/>
          <w:szCs w:val="26"/>
        </w:rPr>
      </w:pPr>
      <w:r w:rsidRPr="007C554B">
        <w:rPr>
          <w:rFonts w:ascii="Times New Roman" w:hAnsi="Times New Roman" w:cs="Times New Roman"/>
          <w:sz w:val="26"/>
          <w:szCs w:val="26"/>
        </w:rPr>
        <w:t>Nhiễm khuẩn đường hô hấp.</w:t>
      </w:r>
    </w:p>
    <w:p w:rsidR="004B605E" w:rsidRPr="007C554B" w:rsidRDefault="004B605E" w:rsidP="007C554B">
      <w:pPr>
        <w:pStyle w:val="ListParagraph"/>
        <w:numPr>
          <w:ilvl w:val="0"/>
          <w:numId w:val="1"/>
        </w:numPr>
        <w:spacing w:after="0" w:line="360" w:lineRule="auto"/>
        <w:jc w:val="both"/>
        <w:rPr>
          <w:rFonts w:ascii="Times New Roman" w:hAnsi="Times New Roman" w:cs="Times New Roman"/>
          <w:sz w:val="26"/>
          <w:szCs w:val="26"/>
        </w:rPr>
      </w:pPr>
      <w:r w:rsidRPr="007C554B">
        <w:rPr>
          <w:rFonts w:ascii="Times New Roman" w:hAnsi="Times New Roman" w:cs="Times New Roman"/>
          <w:sz w:val="26"/>
          <w:szCs w:val="26"/>
        </w:rPr>
        <w:t>Nhiễm khuẩn da và mô mềm.</w:t>
      </w:r>
    </w:p>
    <w:p w:rsidR="004B605E" w:rsidRPr="007C554B" w:rsidRDefault="004B605E" w:rsidP="007C554B">
      <w:pPr>
        <w:pStyle w:val="ListParagraph"/>
        <w:numPr>
          <w:ilvl w:val="0"/>
          <w:numId w:val="1"/>
        </w:numPr>
        <w:spacing w:after="0" w:line="360" w:lineRule="auto"/>
        <w:jc w:val="both"/>
        <w:rPr>
          <w:rFonts w:ascii="Times New Roman" w:hAnsi="Times New Roman" w:cs="Times New Roman"/>
          <w:sz w:val="26"/>
          <w:szCs w:val="26"/>
        </w:rPr>
      </w:pPr>
      <w:r w:rsidRPr="007C554B">
        <w:rPr>
          <w:rFonts w:ascii="Times New Roman" w:hAnsi="Times New Roman" w:cs="Times New Roman"/>
          <w:sz w:val="26"/>
          <w:szCs w:val="26"/>
        </w:rPr>
        <w:t>Nhiễm khuẩn xương và khớp.</w:t>
      </w:r>
    </w:p>
    <w:p w:rsidR="004B605E" w:rsidRPr="007C554B" w:rsidRDefault="004B605E" w:rsidP="007C554B">
      <w:pPr>
        <w:pStyle w:val="ListParagraph"/>
        <w:numPr>
          <w:ilvl w:val="0"/>
          <w:numId w:val="1"/>
        </w:numPr>
        <w:spacing w:after="0" w:line="360" w:lineRule="auto"/>
        <w:jc w:val="both"/>
        <w:rPr>
          <w:rFonts w:ascii="Times New Roman" w:hAnsi="Times New Roman" w:cs="Times New Roman"/>
          <w:sz w:val="26"/>
          <w:szCs w:val="26"/>
        </w:rPr>
      </w:pPr>
      <w:r w:rsidRPr="007C554B">
        <w:rPr>
          <w:rFonts w:ascii="Times New Roman" w:hAnsi="Times New Roman" w:cs="Times New Roman"/>
          <w:sz w:val="26"/>
          <w:szCs w:val="26"/>
        </w:rPr>
        <w:t>Một số trường hợp nhiễm khuẩn huyết và nội tâm mạc.</w:t>
      </w:r>
    </w:p>
    <w:p w:rsidR="004B605E" w:rsidRPr="007C554B" w:rsidRDefault="004B605E" w:rsidP="007C554B">
      <w:pPr>
        <w:pStyle w:val="ListParagraph"/>
        <w:numPr>
          <w:ilvl w:val="0"/>
          <w:numId w:val="1"/>
        </w:numPr>
        <w:spacing w:after="0" w:line="360" w:lineRule="auto"/>
        <w:jc w:val="both"/>
        <w:rPr>
          <w:rFonts w:ascii="Times New Roman" w:hAnsi="Times New Roman" w:cs="Times New Roman"/>
          <w:sz w:val="26"/>
          <w:szCs w:val="26"/>
        </w:rPr>
      </w:pPr>
      <w:r w:rsidRPr="007C554B">
        <w:rPr>
          <w:rFonts w:ascii="Times New Roman" w:hAnsi="Times New Roman" w:cs="Times New Roman"/>
          <w:sz w:val="26"/>
          <w:szCs w:val="26"/>
        </w:rPr>
        <w:t>Một số trường hợp nhiễm khuẩn đường mật và tiết niệu sinh dục.</w:t>
      </w:r>
    </w:p>
    <w:p w:rsidR="004B605E" w:rsidRPr="007C554B" w:rsidRDefault="004B605E" w:rsidP="007C554B">
      <w:pPr>
        <w:spacing w:after="0" w:line="360" w:lineRule="auto"/>
        <w:ind w:left="567"/>
        <w:jc w:val="both"/>
        <w:rPr>
          <w:rFonts w:ascii="Times New Roman" w:hAnsi="Times New Roman" w:cs="Times New Roman"/>
          <w:sz w:val="26"/>
          <w:szCs w:val="26"/>
        </w:rPr>
      </w:pPr>
      <w:r w:rsidRPr="007C554B">
        <w:rPr>
          <w:rFonts w:ascii="Times New Roman" w:hAnsi="Times New Roman" w:cs="Times New Roman"/>
          <w:sz w:val="26"/>
          <w:szCs w:val="26"/>
        </w:rPr>
        <w:t>Tuy nhiên vẫn là điều trị theo kháng sinh đồ.</w:t>
      </w:r>
    </w:p>
    <w:p w:rsidR="004B605E" w:rsidRPr="007C554B" w:rsidRDefault="004B605E" w:rsidP="007C554B">
      <w:pPr>
        <w:spacing w:after="0" w:line="360" w:lineRule="auto"/>
        <w:ind w:firstLine="567"/>
        <w:jc w:val="both"/>
        <w:rPr>
          <w:rFonts w:ascii="Times New Roman" w:hAnsi="Times New Roman" w:cs="Times New Roman"/>
          <w:sz w:val="26"/>
          <w:szCs w:val="26"/>
        </w:rPr>
      </w:pPr>
      <w:r w:rsidRPr="007C554B">
        <w:rPr>
          <w:rFonts w:ascii="Times New Roman" w:hAnsi="Times New Roman" w:cs="Times New Roman"/>
          <w:sz w:val="26"/>
          <w:szCs w:val="26"/>
        </w:rPr>
        <w:t>Điều trị dự phòng: sử dụng Cefazolin trong phẩu thuật có thể làm giảm tỉ lệ nhiễm khuẩn hậu phẫu ở những người bệnh đang trải qua những phẫu thuật có nguy cơ nhiễm khuẩn cao, hoặc phẫu thuật những chỗ có thể xảy r nhiễm khuẩn hậu phẫu đặc biệt nghiêm trọng.</w:t>
      </w:r>
    </w:p>
    <w:p w:rsidR="004B605E" w:rsidRPr="007C554B" w:rsidRDefault="004B605E" w:rsidP="007C554B">
      <w:pPr>
        <w:spacing w:after="0" w:line="360" w:lineRule="auto"/>
        <w:ind w:firstLine="567"/>
        <w:jc w:val="both"/>
        <w:rPr>
          <w:rFonts w:ascii="Times New Roman" w:hAnsi="Times New Roman" w:cs="Times New Roman"/>
          <w:b/>
          <w:sz w:val="26"/>
          <w:szCs w:val="26"/>
        </w:rPr>
      </w:pPr>
      <w:r w:rsidRPr="007C554B">
        <w:rPr>
          <w:rFonts w:ascii="Times New Roman" w:hAnsi="Times New Roman" w:cs="Times New Roman"/>
          <w:sz w:val="26"/>
          <w:szCs w:val="26"/>
        </w:rPr>
        <w:t xml:space="preserve">3- </w:t>
      </w:r>
      <w:r w:rsidRPr="007C554B">
        <w:rPr>
          <w:rFonts w:ascii="Times New Roman" w:hAnsi="Times New Roman" w:cs="Times New Roman"/>
          <w:b/>
          <w:sz w:val="26"/>
          <w:szCs w:val="26"/>
        </w:rPr>
        <w:t xml:space="preserve">Liều dùng : </w:t>
      </w:r>
    </w:p>
    <w:p w:rsidR="004B605E" w:rsidRPr="007C554B" w:rsidRDefault="004B605E" w:rsidP="007C554B">
      <w:pPr>
        <w:pStyle w:val="ListParagraph"/>
        <w:numPr>
          <w:ilvl w:val="0"/>
          <w:numId w:val="1"/>
        </w:numPr>
        <w:spacing w:after="0" w:line="360" w:lineRule="auto"/>
        <w:ind w:left="0" w:firstLine="567"/>
        <w:jc w:val="both"/>
        <w:rPr>
          <w:rFonts w:ascii="Times New Roman" w:hAnsi="Times New Roman" w:cs="Times New Roman"/>
          <w:sz w:val="26"/>
          <w:szCs w:val="26"/>
        </w:rPr>
      </w:pPr>
      <w:r w:rsidRPr="007C554B">
        <w:rPr>
          <w:rFonts w:ascii="Times New Roman" w:hAnsi="Times New Roman" w:cs="Times New Roman"/>
          <w:sz w:val="26"/>
          <w:szCs w:val="26"/>
        </w:rPr>
        <w:t>Người lớn: liều thông thường 0.5g-1g, cách 6-12 giờ/ lần. Liều tối đa thường dùng là 6 g/ ngày. Trường hợp nhiễm khuẩn nặng đe doạ tính mạng có thể dùng tới 12 g/ ngày.</w:t>
      </w:r>
    </w:p>
    <w:p w:rsidR="004B605E" w:rsidRPr="007C554B" w:rsidRDefault="004B605E" w:rsidP="007C554B">
      <w:pPr>
        <w:pStyle w:val="ListParagraph"/>
        <w:numPr>
          <w:ilvl w:val="0"/>
          <w:numId w:val="1"/>
        </w:numPr>
        <w:spacing w:after="0" w:line="360" w:lineRule="auto"/>
        <w:ind w:left="0" w:firstLine="567"/>
        <w:jc w:val="both"/>
        <w:rPr>
          <w:rFonts w:ascii="Times New Roman" w:hAnsi="Times New Roman" w:cs="Times New Roman"/>
          <w:sz w:val="26"/>
          <w:szCs w:val="26"/>
        </w:rPr>
      </w:pPr>
      <w:r w:rsidRPr="007C554B">
        <w:rPr>
          <w:rFonts w:ascii="Times New Roman" w:hAnsi="Times New Roman" w:cs="Times New Roman"/>
          <w:sz w:val="26"/>
          <w:szCs w:val="26"/>
        </w:rPr>
        <w:t>Trẻ em trên 1 tháng tuổi: 25-50mg/kg thể trọng/ ngày, chia làm 3 hoặc 4 lần/ ngày. Trường hợp nhiễm khuẩn nặng,  liều có thể tăng lên tối đa 100 mg/kg thể trọng/ ngày, chia làm 4 lần/ ngày.</w:t>
      </w:r>
    </w:p>
    <w:p w:rsidR="004B605E" w:rsidRPr="007C554B" w:rsidRDefault="004B605E" w:rsidP="007C554B">
      <w:pPr>
        <w:pStyle w:val="ListParagraph"/>
        <w:numPr>
          <w:ilvl w:val="0"/>
          <w:numId w:val="1"/>
        </w:numPr>
        <w:spacing w:after="0" w:line="360" w:lineRule="auto"/>
        <w:ind w:left="0" w:firstLine="567"/>
        <w:jc w:val="both"/>
        <w:rPr>
          <w:rFonts w:ascii="Times New Roman" w:hAnsi="Times New Roman" w:cs="Times New Roman"/>
          <w:sz w:val="26"/>
          <w:szCs w:val="26"/>
        </w:rPr>
      </w:pPr>
      <w:r w:rsidRPr="007C554B">
        <w:rPr>
          <w:rFonts w:ascii="Times New Roman" w:hAnsi="Times New Roman" w:cs="Times New Roman"/>
          <w:sz w:val="26"/>
          <w:szCs w:val="26"/>
        </w:rPr>
        <w:t>Dự phòng nhiễm khuẩn trong phẩu thuật: tiêm liều 1g trước khi phẩu thuật 30-60 phút. Đối với phẩu thuật kéo dài, tiêm tiếp liều 0.5-1 g trong khi phẩu thuật. Sau phẫu thuật, tiêm liều 0.5-1g, 6-8 giờ hoặc trong 5 ngày cho một số trường hợp( như mổ tim hở và cấy ghép các bộ phận chỉnh hình)</w:t>
      </w:r>
    </w:p>
    <w:p w:rsidR="004B605E" w:rsidRPr="007C554B" w:rsidRDefault="004B605E" w:rsidP="007C554B">
      <w:pPr>
        <w:pStyle w:val="ListParagraph"/>
        <w:numPr>
          <w:ilvl w:val="0"/>
          <w:numId w:val="1"/>
        </w:numPr>
        <w:spacing w:after="0" w:line="360" w:lineRule="auto"/>
        <w:ind w:left="0" w:firstLine="567"/>
        <w:jc w:val="both"/>
        <w:rPr>
          <w:rFonts w:ascii="Times New Roman" w:hAnsi="Times New Roman" w:cs="Times New Roman"/>
          <w:sz w:val="26"/>
          <w:szCs w:val="26"/>
        </w:rPr>
      </w:pPr>
      <w:r w:rsidRPr="007C554B">
        <w:rPr>
          <w:rFonts w:ascii="Times New Roman" w:hAnsi="Times New Roman" w:cs="Times New Roman"/>
          <w:sz w:val="26"/>
          <w:szCs w:val="26"/>
        </w:rPr>
        <w:lastRenderedPageBreak/>
        <w:t>Cần giảm liều đối với người bệnh suy thận. Sau liều tấn công đầu tiên, các liều tiếp theo có thể theo như bảng sau:</w:t>
      </w:r>
    </w:p>
    <w:tbl>
      <w:tblPr>
        <w:tblStyle w:val="TableGrid"/>
        <w:tblW w:w="0" w:type="auto"/>
        <w:tblInd w:w="567" w:type="dxa"/>
        <w:tblLook w:val="04A0" w:firstRow="1" w:lastRow="0" w:firstColumn="1" w:lastColumn="0" w:noHBand="0" w:noVBand="1"/>
      </w:tblPr>
      <w:tblGrid>
        <w:gridCol w:w="2922"/>
        <w:gridCol w:w="2891"/>
        <w:gridCol w:w="2907"/>
      </w:tblGrid>
      <w:tr w:rsidR="004B605E" w:rsidRPr="007C554B" w:rsidTr="00FC5B22">
        <w:tc>
          <w:tcPr>
            <w:tcW w:w="3332" w:type="dxa"/>
          </w:tcPr>
          <w:p w:rsidR="004B605E" w:rsidRPr="007C554B" w:rsidRDefault="004B605E" w:rsidP="007C554B">
            <w:pPr>
              <w:pStyle w:val="ListParagraph"/>
              <w:spacing w:line="360" w:lineRule="auto"/>
              <w:ind w:left="0"/>
              <w:jc w:val="both"/>
              <w:rPr>
                <w:rFonts w:ascii="Times New Roman" w:hAnsi="Times New Roman" w:cs="Times New Roman"/>
                <w:sz w:val="26"/>
                <w:szCs w:val="26"/>
              </w:rPr>
            </w:pPr>
            <w:r w:rsidRPr="007C554B">
              <w:rPr>
                <w:rFonts w:ascii="Times New Roman" w:hAnsi="Times New Roman" w:cs="Times New Roman"/>
                <w:sz w:val="26"/>
                <w:szCs w:val="26"/>
              </w:rPr>
              <w:t>Độ thanh thải creatinin</w:t>
            </w:r>
          </w:p>
        </w:tc>
        <w:tc>
          <w:tcPr>
            <w:tcW w:w="3332" w:type="dxa"/>
          </w:tcPr>
          <w:p w:rsidR="004B605E" w:rsidRPr="007C554B" w:rsidRDefault="004B605E" w:rsidP="007C554B">
            <w:pPr>
              <w:pStyle w:val="ListParagraph"/>
              <w:spacing w:line="360" w:lineRule="auto"/>
              <w:ind w:left="0"/>
              <w:jc w:val="both"/>
              <w:rPr>
                <w:rFonts w:ascii="Times New Roman" w:hAnsi="Times New Roman" w:cs="Times New Roman"/>
                <w:sz w:val="26"/>
                <w:szCs w:val="26"/>
              </w:rPr>
            </w:pPr>
            <w:r w:rsidRPr="007C554B">
              <w:rPr>
                <w:rFonts w:ascii="Times New Roman" w:hAnsi="Times New Roman" w:cs="Times New Roman"/>
                <w:sz w:val="26"/>
                <w:szCs w:val="26"/>
              </w:rPr>
              <w:t>Liều dùng</w:t>
            </w:r>
          </w:p>
        </w:tc>
        <w:tc>
          <w:tcPr>
            <w:tcW w:w="3333" w:type="dxa"/>
          </w:tcPr>
          <w:p w:rsidR="004B605E" w:rsidRPr="007C554B" w:rsidRDefault="004B605E" w:rsidP="007C554B">
            <w:pPr>
              <w:pStyle w:val="ListParagraph"/>
              <w:spacing w:line="360" w:lineRule="auto"/>
              <w:ind w:left="0"/>
              <w:jc w:val="both"/>
              <w:rPr>
                <w:rFonts w:ascii="Times New Roman" w:hAnsi="Times New Roman" w:cs="Times New Roman"/>
                <w:sz w:val="26"/>
                <w:szCs w:val="26"/>
              </w:rPr>
            </w:pPr>
            <w:r w:rsidRPr="007C554B">
              <w:rPr>
                <w:rFonts w:ascii="Times New Roman" w:hAnsi="Times New Roman" w:cs="Times New Roman"/>
                <w:sz w:val="26"/>
                <w:szCs w:val="26"/>
              </w:rPr>
              <w:t>Khoảng cách dùng</w:t>
            </w:r>
          </w:p>
        </w:tc>
      </w:tr>
      <w:tr w:rsidR="004B605E" w:rsidRPr="007C554B" w:rsidTr="00FC5B22">
        <w:tc>
          <w:tcPr>
            <w:tcW w:w="3332" w:type="dxa"/>
          </w:tcPr>
          <w:p w:rsidR="004B605E" w:rsidRPr="007C554B" w:rsidRDefault="004B605E" w:rsidP="007C554B">
            <w:pPr>
              <w:pStyle w:val="ListParagraph"/>
              <w:spacing w:line="360" w:lineRule="auto"/>
              <w:ind w:left="0"/>
              <w:jc w:val="both"/>
              <w:rPr>
                <w:rFonts w:ascii="Times New Roman" w:hAnsi="Times New Roman" w:cs="Times New Roman"/>
                <w:sz w:val="26"/>
                <w:szCs w:val="26"/>
              </w:rPr>
            </w:pPr>
            <w:r w:rsidRPr="007C554B">
              <w:rPr>
                <w:rFonts w:ascii="Times New Roman" w:hAnsi="Times New Roman" w:cs="Times New Roman"/>
                <w:sz w:val="26"/>
                <w:szCs w:val="26"/>
              </w:rPr>
              <w:t>≥ 55 ml/phút</w:t>
            </w:r>
          </w:p>
        </w:tc>
        <w:tc>
          <w:tcPr>
            <w:tcW w:w="3332" w:type="dxa"/>
          </w:tcPr>
          <w:p w:rsidR="004B605E" w:rsidRPr="007C554B" w:rsidRDefault="004B605E" w:rsidP="007C554B">
            <w:pPr>
              <w:pStyle w:val="ListParagraph"/>
              <w:spacing w:line="360" w:lineRule="auto"/>
              <w:ind w:left="0"/>
              <w:jc w:val="both"/>
              <w:rPr>
                <w:rFonts w:ascii="Times New Roman" w:hAnsi="Times New Roman" w:cs="Times New Roman"/>
                <w:sz w:val="26"/>
                <w:szCs w:val="26"/>
              </w:rPr>
            </w:pPr>
            <w:r w:rsidRPr="007C554B">
              <w:rPr>
                <w:rFonts w:ascii="Times New Roman" w:hAnsi="Times New Roman" w:cs="Times New Roman"/>
                <w:sz w:val="26"/>
                <w:szCs w:val="26"/>
              </w:rPr>
              <w:t>Liều thông thường</w:t>
            </w:r>
          </w:p>
        </w:tc>
        <w:tc>
          <w:tcPr>
            <w:tcW w:w="3333" w:type="dxa"/>
          </w:tcPr>
          <w:p w:rsidR="004B605E" w:rsidRPr="007C554B" w:rsidRDefault="004B605E" w:rsidP="007C554B">
            <w:pPr>
              <w:pStyle w:val="ListParagraph"/>
              <w:spacing w:line="360" w:lineRule="auto"/>
              <w:ind w:left="0"/>
              <w:jc w:val="both"/>
              <w:rPr>
                <w:rFonts w:ascii="Times New Roman" w:hAnsi="Times New Roman" w:cs="Times New Roman"/>
                <w:sz w:val="26"/>
                <w:szCs w:val="26"/>
              </w:rPr>
            </w:pPr>
          </w:p>
        </w:tc>
      </w:tr>
      <w:tr w:rsidR="004B605E" w:rsidRPr="007C554B" w:rsidTr="00FC5B22">
        <w:tc>
          <w:tcPr>
            <w:tcW w:w="3332" w:type="dxa"/>
          </w:tcPr>
          <w:p w:rsidR="004B605E" w:rsidRPr="007C554B" w:rsidRDefault="004B605E" w:rsidP="007C554B">
            <w:pPr>
              <w:pStyle w:val="ListParagraph"/>
              <w:spacing w:line="360" w:lineRule="auto"/>
              <w:ind w:left="0"/>
              <w:jc w:val="both"/>
              <w:rPr>
                <w:rFonts w:ascii="Times New Roman" w:hAnsi="Times New Roman" w:cs="Times New Roman"/>
                <w:sz w:val="26"/>
                <w:szCs w:val="26"/>
              </w:rPr>
            </w:pPr>
            <w:r w:rsidRPr="007C554B">
              <w:rPr>
                <w:rFonts w:ascii="Times New Roman" w:hAnsi="Times New Roman" w:cs="Times New Roman"/>
                <w:sz w:val="26"/>
                <w:szCs w:val="26"/>
              </w:rPr>
              <w:t>35-54 ml/phút</w:t>
            </w:r>
          </w:p>
        </w:tc>
        <w:tc>
          <w:tcPr>
            <w:tcW w:w="3332" w:type="dxa"/>
          </w:tcPr>
          <w:p w:rsidR="004B605E" w:rsidRPr="007C554B" w:rsidRDefault="004B605E" w:rsidP="007C554B">
            <w:pPr>
              <w:pStyle w:val="ListParagraph"/>
              <w:spacing w:line="360" w:lineRule="auto"/>
              <w:ind w:left="0"/>
              <w:jc w:val="both"/>
              <w:rPr>
                <w:rFonts w:ascii="Times New Roman" w:hAnsi="Times New Roman" w:cs="Times New Roman"/>
                <w:sz w:val="26"/>
                <w:szCs w:val="26"/>
              </w:rPr>
            </w:pPr>
            <w:r w:rsidRPr="007C554B">
              <w:rPr>
                <w:rFonts w:ascii="Times New Roman" w:hAnsi="Times New Roman" w:cs="Times New Roman"/>
                <w:sz w:val="26"/>
                <w:szCs w:val="26"/>
              </w:rPr>
              <w:t>Liều thông thường</w:t>
            </w:r>
          </w:p>
        </w:tc>
        <w:tc>
          <w:tcPr>
            <w:tcW w:w="3333" w:type="dxa"/>
          </w:tcPr>
          <w:p w:rsidR="004B605E" w:rsidRPr="007C554B" w:rsidRDefault="004B605E" w:rsidP="007C554B">
            <w:pPr>
              <w:pStyle w:val="ListParagraph"/>
              <w:spacing w:line="360" w:lineRule="auto"/>
              <w:ind w:left="0"/>
              <w:jc w:val="both"/>
              <w:rPr>
                <w:rFonts w:ascii="Times New Roman" w:hAnsi="Times New Roman" w:cs="Times New Roman"/>
                <w:sz w:val="26"/>
                <w:szCs w:val="26"/>
              </w:rPr>
            </w:pPr>
            <w:r w:rsidRPr="007C554B">
              <w:rPr>
                <w:rFonts w:ascii="Times New Roman" w:hAnsi="Times New Roman" w:cs="Times New Roman"/>
                <w:sz w:val="26"/>
                <w:szCs w:val="26"/>
              </w:rPr>
              <w:t>Ít nhất 8 giờ</w:t>
            </w:r>
          </w:p>
        </w:tc>
      </w:tr>
      <w:tr w:rsidR="004B605E" w:rsidRPr="007C554B" w:rsidTr="00FC5B22">
        <w:tc>
          <w:tcPr>
            <w:tcW w:w="3332" w:type="dxa"/>
          </w:tcPr>
          <w:p w:rsidR="004B605E" w:rsidRPr="007C554B" w:rsidRDefault="004B605E" w:rsidP="007C554B">
            <w:pPr>
              <w:pStyle w:val="ListParagraph"/>
              <w:spacing w:line="360" w:lineRule="auto"/>
              <w:ind w:left="0"/>
              <w:jc w:val="both"/>
              <w:rPr>
                <w:rFonts w:ascii="Times New Roman" w:hAnsi="Times New Roman" w:cs="Times New Roman"/>
                <w:sz w:val="26"/>
                <w:szCs w:val="26"/>
              </w:rPr>
            </w:pPr>
            <w:r w:rsidRPr="007C554B">
              <w:rPr>
                <w:rFonts w:ascii="Times New Roman" w:hAnsi="Times New Roman" w:cs="Times New Roman"/>
                <w:sz w:val="26"/>
                <w:szCs w:val="26"/>
              </w:rPr>
              <w:t>11-34 ml/phút</w:t>
            </w:r>
          </w:p>
        </w:tc>
        <w:tc>
          <w:tcPr>
            <w:tcW w:w="3332" w:type="dxa"/>
          </w:tcPr>
          <w:p w:rsidR="004B605E" w:rsidRPr="007C554B" w:rsidRDefault="004B605E" w:rsidP="007C554B">
            <w:pPr>
              <w:pStyle w:val="ListParagraph"/>
              <w:spacing w:line="360" w:lineRule="auto"/>
              <w:ind w:left="0"/>
              <w:jc w:val="both"/>
              <w:rPr>
                <w:rFonts w:ascii="Times New Roman" w:hAnsi="Times New Roman" w:cs="Times New Roman"/>
                <w:sz w:val="26"/>
                <w:szCs w:val="26"/>
              </w:rPr>
            </w:pPr>
            <w:r w:rsidRPr="007C554B">
              <w:rPr>
                <w:rFonts w:ascii="Times New Roman" w:hAnsi="Times New Roman" w:cs="Times New Roman"/>
                <w:sz w:val="26"/>
                <w:szCs w:val="26"/>
              </w:rPr>
              <w:t>½ Liều thông thường</w:t>
            </w:r>
          </w:p>
        </w:tc>
        <w:tc>
          <w:tcPr>
            <w:tcW w:w="3333" w:type="dxa"/>
          </w:tcPr>
          <w:p w:rsidR="004B605E" w:rsidRPr="007C554B" w:rsidRDefault="004B605E" w:rsidP="007C554B">
            <w:pPr>
              <w:pStyle w:val="ListParagraph"/>
              <w:spacing w:line="360" w:lineRule="auto"/>
              <w:ind w:left="0"/>
              <w:jc w:val="both"/>
              <w:rPr>
                <w:rFonts w:ascii="Times New Roman" w:hAnsi="Times New Roman" w:cs="Times New Roman"/>
                <w:sz w:val="26"/>
                <w:szCs w:val="26"/>
              </w:rPr>
            </w:pPr>
            <w:r w:rsidRPr="007C554B">
              <w:rPr>
                <w:rFonts w:ascii="Times New Roman" w:hAnsi="Times New Roman" w:cs="Times New Roman"/>
                <w:sz w:val="26"/>
                <w:szCs w:val="26"/>
              </w:rPr>
              <w:t>12 giờ</w:t>
            </w:r>
          </w:p>
        </w:tc>
      </w:tr>
      <w:tr w:rsidR="004B605E" w:rsidRPr="007C554B" w:rsidTr="00FC5B22">
        <w:tc>
          <w:tcPr>
            <w:tcW w:w="3332" w:type="dxa"/>
          </w:tcPr>
          <w:p w:rsidR="004B605E" w:rsidRPr="007C554B" w:rsidRDefault="004B605E" w:rsidP="007C554B">
            <w:pPr>
              <w:pStyle w:val="ListParagraph"/>
              <w:spacing w:line="360" w:lineRule="auto"/>
              <w:ind w:left="0"/>
              <w:jc w:val="both"/>
              <w:rPr>
                <w:rFonts w:ascii="Times New Roman" w:hAnsi="Times New Roman" w:cs="Times New Roman"/>
                <w:sz w:val="26"/>
                <w:szCs w:val="26"/>
              </w:rPr>
            </w:pPr>
            <w:r w:rsidRPr="007C554B">
              <w:rPr>
                <w:rFonts w:ascii="Times New Roman" w:hAnsi="Times New Roman" w:cs="Times New Roman"/>
                <w:sz w:val="26"/>
                <w:szCs w:val="26"/>
              </w:rPr>
              <w:t>≤10 ml/phút</w:t>
            </w:r>
          </w:p>
        </w:tc>
        <w:tc>
          <w:tcPr>
            <w:tcW w:w="3332" w:type="dxa"/>
          </w:tcPr>
          <w:p w:rsidR="004B605E" w:rsidRPr="007C554B" w:rsidRDefault="004B605E" w:rsidP="007C554B">
            <w:pPr>
              <w:pStyle w:val="ListParagraph"/>
              <w:spacing w:line="360" w:lineRule="auto"/>
              <w:ind w:left="0"/>
              <w:jc w:val="both"/>
              <w:rPr>
                <w:rFonts w:ascii="Times New Roman" w:hAnsi="Times New Roman" w:cs="Times New Roman"/>
                <w:sz w:val="26"/>
                <w:szCs w:val="26"/>
              </w:rPr>
            </w:pPr>
            <w:r w:rsidRPr="007C554B">
              <w:rPr>
                <w:rFonts w:ascii="Times New Roman" w:hAnsi="Times New Roman" w:cs="Times New Roman"/>
                <w:sz w:val="26"/>
                <w:szCs w:val="26"/>
              </w:rPr>
              <w:t>½ Liều thông thường</w:t>
            </w:r>
          </w:p>
        </w:tc>
        <w:tc>
          <w:tcPr>
            <w:tcW w:w="3333" w:type="dxa"/>
          </w:tcPr>
          <w:p w:rsidR="004B605E" w:rsidRPr="007C554B" w:rsidRDefault="004B605E" w:rsidP="007C554B">
            <w:pPr>
              <w:pStyle w:val="ListParagraph"/>
              <w:spacing w:line="360" w:lineRule="auto"/>
              <w:ind w:left="0"/>
              <w:jc w:val="both"/>
              <w:rPr>
                <w:rFonts w:ascii="Times New Roman" w:hAnsi="Times New Roman" w:cs="Times New Roman"/>
                <w:sz w:val="26"/>
                <w:szCs w:val="26"/>
              </w:rPr>
            </w:pPr>
            <w:r w:rsidRPr="007C554B">
              <w:rPr>
                <w:rFonts w:ascii="Times New Roman" w:hAnsi="Times New Roman" w:cs="Times New Roman"/>
                <w:sz w:val="26"/>
                <w:szCs w:val="26"/>
              </w:rPr>
              <w:t>18-24 giờ</w:t>
            </w:r>
          </w:p>
        </w:tc>
      </w:tr>
    </w:tbl>
    <w:p w:rsidR="007C554B" w:rsidRDefault="007C554B" w:rsidP="007C554B">
      <w:pPr>
        <w:spacing w:after="0" w:line="360" w:lineRule="auto"/>
        <w:ind w:firstLine="567"/>
        <w:jc w:val="both"/>
        <w:rPr>
          <w:rFonts w:ascii="Times New Roman" w:hAnsi="Times New Roman" w:cs="Times New Roman"/>
          <w:b/>
          <w:sz w:val="26"/>
          <w:szCs w:val="26"/>
        </w:rPr>
      </w:pPr>
    </w:p>
    <w:p w:rsidR="004B605E" w:rsidRPr="007C554B" w:rsidRDefault="004B605E" w:rsidP="007C554B">
      <w:pPr>
        <w:spacing w:after="0" w:line="360" w:lineRule="auto"/>
        <w:ind w:firstLine="567"/>
        <w:jc w:val="both"/>
        <w:rPr>
          <w:rFonts w:ascii="Times New Roman" w:hAnsi="Times New Roman" w:cs="Times New Roman"/>
          <w:b/>
          <w:sz w:val="26"/>
          <w:szCs w:val="26"/>
        </w:rPr>
      </w:pPr>
      <w:r w:rsidRPr="007C554B">
        <w:rPr>
          <w:rFonts w:ascii="Times New Roman" w:hAnsi="Times New Roman" w:cs="Times New Roman"/>
          <w:b/>
          <w:sz w:val="26"/>
          <w:szCs w:val="26"/>
        </w:rPr>
        <w:t>4- Cách dùng:</w:t>
      </w:r>
    </w:p>
    <w:p w:rsidR="004B605E" w:rsidRPr="007C554B" w:rsidRDefault="004B605E" w:rsidP="007C554B">
      <w:pPr>
        <w:pStyle w:val="ListParagraph"/>
        <w:numPr>
          <w:ilvl w:val="0"/>
          <w:numId w:val="1"/>
        </w:numPr>
        <w:spacing w:after="0" w:line="360" w:lineRule="auto"/>
        <w:ind w:left="0" w:firstLine="567"/>
        <w:jc w:val="both"/>
        <w:rPr>
          <w:rFonts w:ascii="Times New Roman" w:hAnsi="Times New Roman" w:cs="Times New Roman"/>
          <w:b/>
          <w:sz w:val="26"/>
          <w:szCs w:val="26"/>
        </w:rPr>
      </w:pPr>
      <w:r w:rsidRPr="007C554B">
        <w:rPr>
          <w:rFonts w:ascii="Times New Roman" w:hAnsi="Times New Roman" w:cs="Times New Roman"/>
          <w:sz w:val="26"/>
          <w:szCs w:val="26"/>
        </w:rPr>
        <w:t>Tiêm bắp và tiêm tĩnh mạch: hoà tan thuốc trong lọ 1g với 2,5 ml nước cất pha tiêm. Dung dịch thu được có nồng độ Cefazolin khoảng 330 mg/ml, với thể tích khoảng 3 ml.</w:t>
      </w:r>
    </w:p>
    <w:p w:rsidR="004B605E" w:rsidRPr="007C554B" w:rsidRDefault="004B605E" w:rsidP="007C554B">
      <w:pPr>
        <w:pStyle w:val="ListParagraph"/>
        <w:numPr>
          <w:ilvl w:val="0"/>
          <w:numId w:val="1"/>
        </w:numPr>
        <w:spacing w:after="0" w:line="360" w:lineRule="auto"/>
        <w:ind w:left="0" w:firstLine="567"/>
        <w:jc w:val="both"/>
        <w:rPr>
          <w:rFonts w:ascii="Times New Roman" w:hAnsi="Times New Roman" w:cs="Times New Roman"/>
          <w:b/>
          <w:sz w:val="26"/>
          <w:szCs w:val="26"/>
        </w:rPr>
      </w:pPr>
      <w:r w:rsidRPr="007C554B">
        <w:rPr>
          <w:rFonts w:ascii="Times New Roman" w:hAnsi="Times New Roman" w:cs="Times New Roman"/>
          <w:sz w:val="26"/>
          <w:szCs w:val="26"/>
        </w:rPr>
        <w:t>Truyền tĩnh mạch liên tục hay gián đoạn: pha 1g thuốc với 2,5 ml nước cất pha tiêm, sau đó pha thuốc vào 50-100 ml nước cất pha tiêm hoặc một trong các loại dịch truyền sau: Natri clorid 0.9%, dextrose 5% hoặc 10%, dextrose 5% trong natri lactat, dextrose 5% trong Natri clorid 0.9% hoặc 0.45 % hoặc 0.2%, natri lactat, đường chuyển 5% hay 10 % trong nước, đường nghịch chuyển 5% hay 10% trong nước.</w:t>
      </w:r>
    </w:p>
    <w:p w:rsidR="004B605E" w:rsidRPr="007C554B" w:rsidRDefault="004B605E" w:rsidP="007C554B">
      <w:pPr>
        <w:pStyle w:val="ListParagraph"/>
        <w:numPr>
          <w:ilvl w:val="0"/>
          <w:numId w:val="1"/>
        </w:numPr>
        <w:spacing w:after="0" w:line="360" w:lineRule="auto"/>
        <w:ind w:left="0" w:firstLine="567"/>
        <w:jc w:val="both"/>
        <w:rPr>
          <w:rFonts w:ascii="Times New Roman" w:hAnsi="Times New Roman" w:cs="Times New Roman"/>
          <w:b/>
          <w:sz w:val="26"/>
          <w:szCs w:val="26"/>
          <w:lang w:val="vi-VN"/>
        </w:rPr>
      </w:pPr>
      <w:r w:rsidRPr="007C554B">
        <w:rPr>
          <w:rFonts w:ascii="Times New Roman" w:hAnsi="Times New Roman" w:cs="Times New Roman"/>
          <w:sz w:val="26"/>
          <w:szCs w:val="26"/>
        </w:rPr>
        <w:t xml:space="preserve">Chú ý: lắc mạnh thuốc tiêm khi pha với dung môi. </w:t>
      </w:r>
      <w:r w:rsidRPr="007C554B">
        <w:rPr>
          <w:rFonts w:ascii="Times New Roman" w:hAnsi="Times New Roman" w:cs="Times New Roman"/>
          <w:sz w:val="26"/>
          <w:szCs w:val="26"/>
          <w:lang w:val="vi-VN"/>
        </w:rPr>
        <w:t>Cefazolin</w:t>
      </w:r>
      <w:r w:rsidRPr="007C554B">
        <w:rPr>
          <w:rFonts w:ascii="Times New Roman" w:hAnsi="Times New Roman" w:cs="Times New Roman"/>
          <w:sz w:val="26"/>
          <w:szCs w:val="26"/>
        </w:rPr>
        <w:t xml:space="preserve"> pha trong nước cất pha tiêm, dextrose tiêm 5%, natri clorid 0.9% giữ được ổn định trong 24 giờ ở nhiệt độ phòng và trong 10 ngày nếu bảo quản trong tủ lạnh 2-8 </w:t>
      </w:r>
      <w:r w:rsidRPr="007C554B">
        <w:rPr>
          <w:rFonts w:ascii="Times New Roman" w:hAnsi="Times New Roman" w:cs="Times New Roman"/>
          <w:sz w:val="26"/>
          <w:szCs w:val="26"/>
          <w:vertAlign w:val="superscript"/>
        </w:rPr>
        <w:t>0</w:t>
      </w:r>
      <w:r w:rsidRPr="007C554B">
        <w:rPr>
          <w:rFonts w:ascii="Times New Roman" w:hAnsi="Times New Roman" w:cs="Times New Roman"/>
          <w:sz w:val="26"/>
          <w:szCs w:val="26"/>
        </w:rPr>
        <w:t xml:space="preserve">C. </w:t>
      </w:r>
    </w:p>
    <w:p w:rsidR="004B605E" w:rsidRPr="007C554B" w:rsidRDefault="004B605E" w:rsidP="007C554B">
      <w:pPr>
        <w:pStyle w:val="ListParagraph"/>
        <w:spacing w:after="0" w:line="360" w:lineRule="auto"/>
        <w:ind w:left="567"/>
        <w:jc w:val="both"/>
        <w:rPr>
          <w:rFonts w:ascii="Times New Roman" w:hAnsi="Times New Roman" w:cs="Times New Roman"/>
          <w:b/>
          <w:sz w:val="26"/>
          <w:szCs w:val="26"/>
        </w:rPr>
      </w:pPr>
      <w:r w:rsidRPr="007C554B">
        <w:rPr>
          <w:rFonts w:ascii="Times New Roman" w:hAnsi="Times New Roman" w:cs="Times New Roman"/>
          <w:b/>
          <w:sz w:val="26"/>
          <w:szCs w:val="26"/>
        </w:rPr>
        <w:t xml:space="preserve">5- Chống chỉ định: </w:t>
      </w:r>
    </w:p>
    <w:p w:rsidR="004B605E" w:rsidRPr="007C554B" w:rsidRDefault="004B605E" w:rsidP="007C554B">
      <w:pPr>
        <w:pStyle w:val="ListParagraph"/>
        <w:numPr>
          <w:ilvl w:val="0"/>
          <w:numId w:val="1"/>
        </w:numPr>
        <w:spacing w:after="0" w:line="360" w:lineRule="auto"/>
        <w:jc w:val="both"/>
        <w:rPr>
          <w:rFonts w:ascii="Times New Roman" w:hAnsi="Times New Roman" w:cs="Times New Roman"/>
          <w:b/>
          <w:sz w:val="26"/>
          <w:szCs w:val="26"/>
        </w:rPr>
      </w:pPr>
      <w:r w:rsidRPr="007C554B">
        <w:rPr>
          <w:rFonts w:ascii="Times New Roman" w:hAnsi="Times New Roman" w:cs="Times New Roman"/>
          <w:sz w:val="26"/>
          <w:szCs w:val="26"/>
        </w:rPr>
        <w:t>Bệnh nhân dị ứng với Cefazolin và/ hoặc bất cứ thành phần nào khác của thuốc.</w:t>
      </w:r>
    </w:p>
    <w:p w:rsidR="004B605E" w:rsidRPr="007C554B" w:rsidRDefault="004B605E" w:rsidP="007C554B">
      <w:pPr>
        <w:pStyle w:val="ListParagraph"/>
        <w:numPr>
          <w:ilvl w:val="0"/>
          <w:numId w:val="1"/>
        </w:numPr>
        <w:spacing w:after="0" w:line="360" w:lineRule="auto"/>
        <w:jc w:val="both"/>
        <w:rPr>
          <w:rFonts w:ascii="Times New Roman" w:hAnsi="Times New Roman" w:cs="Times New Roman"/>
          <w:b/>
          <w:sz w:val="26"/>
          <w:szCs w:val="26"/>
        </w:rPr>
      </w:pPr>
      <w:r w:rsidRPr="007C554B">
        <w:rPr>
          <w:rFonts w:ascii="Times New Roman" w:hAnsi="Times New Roman" w:cs="Times New Roman"/>
          <w:sz w:val="26"/>
          <w:szCs w:val="26"/>
        </w:rPr>
        <w:t>Trong các trường hợp có tiền sử dị ứng với các kháng sinh nhóm cephalosporin.</w:t>
      </w:r>
    </w:p>
    <w:p w:rsidR="004B605E" w:rsidRPr="007C554B" w:rsidRDefault="004B605E" w:rsidP="007C554B">
      <w:pPr>
        <w:spacing w:after="0" w:line="360" w:lineRule="auto"/>
        <w:ind w:firstLine="567"/>
        <w:jc w:val="both"/>
        <w:rPr>
          <w:rFonts w:ascii="Times New Roman" w:hAnsi="Times New Roman" w:cs="Times New Roman"/>
          <w:b/>
          <w:sz w:val="26"/>
          <w:szCs w:val="26"/>
        </w:rPr>
      </w:pPr>
      <w:r w:rsidRPr="007C554B">
        <w:rPr>
          <w:rFonts w:ascii="Times New Roman" w:hAnsi="Times New Roman" w:cs="Times New Roman"/>
          <w:b/>
          <w:sz w:val="26"/>
          <w:szCs w:val="26"/>
        </w:rPr>
        <w:t>6- Tương tác thuốc:</w:t>
      </w:r>
    </w:p>
    <w:p w:rsidR="004B605E" w:rsidRPr="007C554B" w:rsidRDefault="004B605E" w:rsidP="007C554B">
      <w:pPr>
        <w:pStyle w:val="ListParagraph"/>
        <w:numPr>
          <w:ilvl w:val="0"/>
          <w:numId w:val="1"/>
        </w:numPr>
        <w:spacing w:after="0" w:line="360" w:lineRule="auto"/>
        <w:ind w:left="0" w:firstLine="567"/>
        <w:jc w:val="both"/>
        <w:rPr>
          <w:rFonts w:ascii="Times New Roman" w:hAnsi="Times New Roman" w:cs="Times New Roman"/>
          <w:b/>
          <w:sz w:val="26"/>
          <w:szCs w:val="26"/>
        </w:rPr>
      </w:pPr>
      <w:r w:rsidRPr="007C554B">
        <w:rPr>
          <w:rFonts w:ascii="Times New Roman" w:hAnsi="Times New Roman" w:cs="Times New Roman"/>
          <w:b/>
          <w:sz w:val="26"/>
          <w:szCs w:val="26"/>
        </w:rPr>
        <w:t xml:space="preserve"> </w:t>
      </w:r>
      <w:r w:rsidRPr="007C554B">
        <w:rPr>
          <w:rFonts w:ascii="Times New Roman" w:hAnsi="Times New Roman" w:cs="Times New Roman"/>
          <w:sz w:val="26"/>
          <w:szCs w:val="26"/>
        </w:rPr>
        <w:t>Probenecid làm giảm đào thải Cephalosporin qua ống thận, nên làm tăng và kéo dài nồng độ Cephalosporin trong máu.</w:t>
      </w:r>
    </w:p>
    <w:p w:rsidR="004B605E" w:rsidRPr="007C554B" w:rsidRDefault="004B605E" w:rsidP="007C554B">
      <w:pPr>
        <w:pStyle w:val="ListParagraph"/>
        <w:numPr>
          <w:ilvl w:val="0"/>
          <w:numId w:val="1"/>
        </w:numPr>
        <w:spacing w:after="0" w:line="360" w:lineRule="auto"/>
        <w:ind w:left="0" w:firstLine="567"/>
        <w:jc w:val="both"/>
        <w:rPr>
          <w:rFonts w:ascii="Times New Roman" w:hAnsi="Times New Roman" w:cs="Times New Roman"/>
          <w:b/>
          <w:sz w:val="26"/>
          <w:szCs w:val="26"/>
        </w:rPr>
      </w:pPr>
      <w:r w:rsidRPr="007C554B">
        <w:rPr>
          <w:rFonts w:ascii="Times New Roman" w:hAnsi="Times New Roman" w:cs="Times New Roman"/>
          <w:sz w:val="26"/>
          <w:szCs w:val="26"/>
        </w:rPr>
        <w:t>Phối hợp Cephalosporin với Colistin( một kháng sinh Polymycin) làm tăng nguy cơ gây tổn hại thận.</w:t>
      </w:r>
    </w:p>
    <w:p w:rsidR="004B605E" w:rsidRPr="007C554B" w:rsidRDefault="004B605E" w:rsidP="007C554B">
      <w:pPr>
        <w:spacing w:after="0" w:line="360" w:lineRule="auto"/>
        <w:ind w:firstLine="567"/>
        <w:jc w:val="both"/>
        <w:rPr>
          <w:rFonts w:ascii="Times New Roman" w:hAnsi="Times New Roman" w:cs="Times New Roman"/>
          <w:sz w:val="26"/>
          <w:szCs w:val="26"/>
        </w:rPr>
      </w:pPr>
      <w:r w:rsidRPr="007C554B">
        <w:rPr>
          <w:rFonts w:ascii="Times New Roman" w:hAnsi="Times New Roman" w:cs="Times New Roman"/>
          <w:b/>
          <w:sz w:val="26"/>
          <w:szCs w:val="26"/>
        </w:rPr>
        <w:t>7- Tương kỵ</w:t>
      </w:r>
      <w:r w:rsidRPr="007C554B">
        <w:rPr>
          <w:rFonts w:ascii="Times New Roman" w:hAnsi="Times New Roman" w:cs="Times New Roman"/>
          <w:sz w:val="26"/>
          <w:szCs w:val="26"/>
        </w:rPr>
        <w:t xml:space="preserve">: </w:t>
      </w:r>
    </w:p>
    <w:p w:rsidR="004B605E" w:rsidRPr="007C554B" w:rsidRDefault="004B605E" w:rsidP="007C554B">
      <w:pPr>
        <w:pStyle w:val="ListParagraph"/>
        <w:numPr>
          <w:ilvl w:val="0"/>
          <w:numId w:val="1"/>
        </w:numPr>
        <w:spacing w:after="0" w:line="360" w:lineRule="auto"/>
        <w:ind w:left="0" w:firstLine="567"/>
        <w:jc w:val="both"/>
        <w:rPr>
          <w:rFonts w:ascii="Times New Roman" w:hAnsi="Times New Roman" w:cs="Times New Roman"/>
          <w:b/>
          <w:sz w:val="26"/>
          <w:szCs w:val="26"/>
          <w:lang w:val="vi-VN"/>
        </w:rPr>
      </w:pPr>
      <w:r w:rsidRPr="007C554B">
        <w:rPr>
          <w:rFonts w:ascii="Times New Roman" w:hAnsi="Times New Roman" w:cs="Times New Roman"/>
          <w:sz w:val="26"/>
          <w:szCs w:val="26"/>
          <w:lang w:val="vi-VN"/>
        </w:rPr>
        <w:lastRenderedPageBreak/>
        <w:t>Cefazolin</w:t>
      </w:r>
      <w:r w:rsidRPr="007C554B">
        <w:rPr>
          <w:rFonts w:ascii="Times New Roman" w:hAnsi="Times New Roman" w:cs="Times New Roman"/>
          <w:sz w:val="26"/>
          <w:szCs w:val="26"/>
        </w:rPr>
        <w:t xml:space="preserve"> tương kỵ với aminoglycosid và nhiều chất khác. Không được trộn cùng với các kháng sinh khác. Trong môi trường có pH trên 8.5, </w:t>
      </w:r>
      <w:r w:rsidRPr="007C554B">
        <w:rPr>
          <w:rFonts w:ascii="Times New Roman" w:hAnsi="Times New Roman" w:cs="Times New Roman"/>
          <w:sz w:val="26"/>
          <w:szCs w:val="26"/>
          <w:lang w:val="vi-VN"/>
        </w:rPr>
        <w:t>Cefazolin</w:t>
      </w:r>
      <w:r w:rsidRPr="007C554B">
        <w:rPr>
          <w:rFonts w:ascii="Times New Roman" w:hAnsi="Times New Roman" w:cs="Times New Roman"/>
          <w:sz w:val="26"/>
          <w:szCs w:val="26"/>
        </w:rPr>
        <w:t xml:space="preserve"> có thể bị thuỷ phân và ở dưới 4.5 có thể tạo tủa </w:t>
      </w:r>
      <w:r w:rsidRPr="007C554B">
        <w:rPr>
          <w:rFonts w:ascii="Times New Roman" w:hAnsi="Times New Roman" w:cs="Times New Roman"/>
          <w:sz w:val="26"/>
          <w:szCs w:val="26"/>
          <w:lang w:val="vi-VN"/>
        </w:rPr>
        <w:t>Cefazolin</w:t>
      </w:r>
      <w:r w:rsidRPr="007C554B">
        <w:rPr>
          <w:rFonts w:ascii="Times New Roman" w:hAnsi="Times New Roman" w:cs="Times New Roman"/>
          <w:sz w:val="26"/>
          <w:szCs w:val="26"/>
        </w:rPr>
        <w:t xml:space="preserve"> không tan.</w:t>
      </w:r>
    </w:p>
    <w:p w:rsidR="004B605E" w:rsidRPr="007C554B" w:rsidRDefault="004B605E" w:rsidP="007C554B">
      <w:pPr>
        <w:spacing w:after="0" w:line="360" w:lineRule="auto"/>
        <w:ind w:firstLine="567"/>
        <w:jc w:val="both"/>
        <w:rPr>
          <w:rFonts w:ascii="Times New Roman" w:hAnsi="Times New Roman" w:cs="Times New Roman"/>
          <w:b/>
          <w:sz w:val="26"/>
          <w:szCs w:val="26"/>
        </w:rPr>
      </w:pPr>
      <w:r w:rsidRPr="007C554B">
        <w:rPr>
          <w:rFonts w:ascii="Times New Roman" w:hAnsi="Times New Roman" w:cs="Times New Roman"/>
          <w:b/>
          <w:sz w:val="26"/>
          <w:szCs w:val="26"/>
        </w:rPr>
        <w:t>8- Thận trọng:</w:t>
      </w:r>
    </w:p>
    <w:p w:rsidR="004B605E" w:rsidRPr="007C554B" w:rsidRDefault="004B605E" w:rsidP="007C554B">
      <w:pPr>
        <w:spacing w:after="0" w:line="360" w:lineRule="auto"/>
        <w:ind w:firstLine="567"/>
        <w:jc w:val="both"/>
        <w:rPr>
          <w:rFonts w:ascii="Times New Roman" w:hAnsi="Times New Roman" w:cs="Times New Roman"/>
          <w:sz w:val="26"/>
          <w:szCs w:val="26"/>
        </w:rPr>
      </w:pPr>
      <w:r w:rsidRPr="007C554B">
        <w:rPr>
          <w:rFonts w:ascii="Times New Roman" w:hAnsi="Times New Roman" w:cs="Times New Roman"/>
          <w:sz w:val="26"/>
          <w:szCs w:val="26"/>
        </w:rPr>
        <w:t xml:space="preserve">- Trước khi bắt đầu điều trị bằng </w:t>
      </w:r>
      <w:r w:rsidRPr="007C554B">
        <w:rPr>
          <w:rFonts w:ascii="Times New Roman" w:hAnsi="Times New Roman" w:cs="Times New Roman"/>
          <w:sz w:val="26"/>
          <w:szCs w:val="26"/>
          <w:lang w:val="vi-VN"/>
        </w:rPr>
        <w:t>Cefazolin</w:t>
      </w:r>
      <w:r w:rsidRPr="007C554B">
        <w:rPr>
          <w:rFonts w:ascii="Times New Roman" w:hAnsi="Times New Roman" w:cs="Times New Roman"/>
          <w:sz w:val="26"/>
          <w:szCs w:val="26"/>
        </w:rPr>
        <w:t>, cần điều tra kỹ về tiền sử dị ứng thuốc của người bệnh với Cephalosporin, Penicilin hoặc bị phản ứng trầm trọng khác qua trung gian Globulin miễn dịch IgE.</w:t>
      </w:r>
    </w:p>
    <w:p w:rsidR="004B605E" w:rsidRPr="007C554B" w:rsidRDefault="004B605E" w:rsidP="007C554B">
      <w:pPr>
        <w:spacing w:after="0" w:line="360" w:lineRule="auto"/>
        <w:ind w:firstLine="567"/>
        <w:jc w:val="both"/>
        <w:rPr>
          <w:rFonts w:ascii="Times New Roman" w:hAnsi="Times New Roman" w:cs="Times New Roman"/>
          <w:sz w:val="26"/>
          <w:szCs w:val="26"/>
        </w:rPr>
      </w:pPr>
      <w:r w:rsidRPr="007C554B">
        <w:rPr>
          <w:rFonts w:ascii="Times New Roman" w:hAnsi="Times New Roman" w:cs="Times New Roman"/>
          <w:sz w:val="26"/>
          <w:szCs w:val="26"/>
        </w:rPr>
        <w:t>- Khi dùng cho người bệnh có tiền sử về dạ dày ruột, đặt biệt là viêm đại tràng.</w:t>
      </w:r>
    </w:p>
    <w:p w:rsidR="004B605E" w:rsidRPr="007C554B" w:rsidRDefault="004B605E" w:rsidP="007C554B">
      <w:pPr>
        <w:spacing w:after="0" w:line="360" w:lineRule="auto"/>
        <w:ind w:firstLine="567"/>
        <w:jc w:val="both"/>
        <w:rPr>
          <w:rFonts w:ascii="Times New Roman" w:hAnsi="Times New Roman" w:cs="Times New Roman"/>
          <w:sz w:val="26"/>
          <w:szCs w:val="26"/>
        </w:rPr>
      </w:pPr>
      <w:r w:rsidRPr="007C554B">
        <w:rPr>
          <w:rFonts w:ascii="Times New Roman" w:hAnsi="Times New Roman" w:cs="Times New Roman"/>
          <w:sz w:val="26"/>
          <w:szCs w:val="26"/>
        </w:rPr>
        <w:t xml:space="preserve">- Sử dụng </w:t>
      </w:r>
      <w:r w:rsidRPr="007C554B">
        <w:rPr>
          <w:rFonts w:ascii="Times New Roman" w:hAnsi="Times New Roman" w:cs="Times New Roman"/>
          <w:sz w:val="26"/>
          <w:szCs w:val="26"/>
          <w:lang w:val="vi-VN"/>
        </w:rPr>
        <w:t>Cefazolin</w:t>
      </w:r>
      <w:r w:rsidRPr="007C554B">
        <w:rPr>
          <w:rFonts w:ascii="Times New Roman" w:hAnsi="Times New Roman" w:cs="Times New Roman"/>
          <w:sz w:val="26"/>
          <w:szCs w:val="26"/>
        </w:rPr>
        <w:t xml:space="preserve"> dài ngày có thể làm phát triển quá mức các vi khuẩn không nhạy cảm. Cần theo dõi cẩn thận, nếu bội nhiễm cần có những biện phát thích hợp.</w:t>
      </w:r>
    </w:p>
    <w:p w:rsidR="004B605E" w:rsidRPr="007C554B" w:rsidRDefault="004B605E" w:rsidP="007C554B">
      <w:pPr>
        <w:spacing w:after="0" w:line="360" w:lineRule="auto"/>
        <w:ind w:firstLine="567"/>
        <w:jc w:val="both"/>
        <w:rPr>
          <w:rFonts w:ascii="Times New Roman" w:hAnsi="Times New Roman" w:cs="Times New Roman"/>
          <w:sz w:val="26"/>
          <w:szCs w:val="26"/>
        </w:rPr>
      </w:pPr>
      <w:r w:rsidRPr="007C554B">
        <w:rPr>
          <w:rFonts w:ascii="Times New Roman" w:hAnsi="Times New Roman" w:cs="Times New Roman"/>
          <w:sz w:val="26"/>
          <w:szCs w:val="26"/>
        </w:rPr>
        <w:t>- Khi dùng cho người bệnh thận cần giảm liều sử dụng hằng ngày.</w:t>
      </w:r>
    </w:p>
    <w:p w:rsidR="004B605E" w:rsidRPr="007C554B" w:rsidRDefault="004B605E" w:rsidP="007C554B">
      <w:pPr>
        <w:spacing w:after="0" w:line="360" w:lineRule="auto"/>
        <w:ind w:firstLine="567"/>
        <w:jc w:val="both"/>
        <w:rPr>
          <w:rFonts w:ascii="Times New Roman" w:hAnsi="Times New Roman" w:cs="Times New Roman"/>
          <w:sz w:val="26"/>
          <w:szCs w:val="26"/>
        </w:rPr>
      </w:pPr>
      <w:r w:rsidRPr="007C554B">
        <w:rPr>
          <w:rFonts w:ascii="Times New Roman" w:hAnsi="Times New Roman" w:cs="Times New Roman"/>
          <w:sz w:val="26"/>
          <w:szCs w:val="26"/>
        </w:rPr>
        <w:t xml:space="preserve">-Việc dùng </w:t>
      </w:r>
      <w:r w:rsidRPr="007C554B">
        <w:rPr>
          <w:rFonts w:ascii="Times New Roman" w:hAnsi="Times New Roman" w:cs="Times New Roman"/>
          <w:sz w:val="26"/>
          <w:szCs w:val="26"/>
          <w:lang w:val="vi-VN"/>
        </w:rPr>
        <w:t>Cefazolin</w:t>
      </w:r>
      <w:r w:rsidRPr="007C554B">
        <w:rPr>
          <w:rFonts w:ascii="Times New Roman" w:hAnsi="Times New Roman" w:cs="Times New Roman"/>
          <w:sz w:val="26"/>
          <w:szCs w:val="26"/>
        </w:rPr>
        <w:t xml:space="preserve"> qua đường tiêm vào dịch não tuỷ chưa được chấp nhận. Đã có báo cáo về biều hiện nhiễm độc nặng trên thần kinh trung ương, kể cả những cơn co giật, khi tiêm </w:t>
      </w:r>
      <w:r w:rsidRPr="007C554B">
        <w:rPr>
          <w:rFonts w:ascii="Times New Roman" w:hAnsi="Times New Roman" w:cs="Times New Roman"/>
          <w:sz w:val="26"/>
          <w:szCs w:val="26"/>
          <w:lang w:val="vi-VN"/>
        </w:rPr>
        <w:t>Cefazolin</w:t>
      </w:r>
      <w:r w:rsidRPr="007C554B">
        <w:rPr>
          <w:rFonts w:ascii="Times New Roman" w:hAnsi="Times New Roman" w:cs="Times New Roman"/>
          <w:sz w:val="26"/>
          <w:szCs w:val="26"/>
        </w:rPr>
        <w:t xml:space="preserve"> theo đường này.</w:t>
      </w:r>
    </w:p>
    <w:p w:rsidR="00052854" w:rsidRPr="007C554B" w:rsidRDefault="004B605E" w:rsidP="007C554B">
      <w:pPr>
        <w:spacing w:after="0" w:line="360" w:lineRule="auto"/>
        <w:jc w:val="both"/>
        <w:rPr>
          <w:rFonts w:ascii="Times New Roman" w:hAnsi="Times New Roman" w:cs="Times New Roman"/>
          <w:sz w:val="26"/>
          <w:szCs w:val="26"/>
        </w:rPr>
      </w:pPr>
      <w:r w:rsidRPr="007C554B">
        <w:rPr>
          <w:rFonts w:ascii="Times New Roman" w:hAnsi="Times New Roman" w:cs="Times New Roman"/>
          <w:b/>
          <w:sz w:val="26"/>
          <w:szCs w:val="26"/>
          <w:lang w:val="vi-VN"/>
        </w:rPr>
        <w:t>- Tài liệu tham khảo:</w:t>
      </w:r>
      <w:r w:rsidRPr="007C554B">
        <w:rPr>
          <w:rFonts w:ascii="Times New Roman" w:hAnsi="Times New Roman" w:cs="Times New Roman"/>
          <w:sz w:val="26"/>
          <w:szCs w:val="26"/>
          <w:lang w:val="vi-VN"/>
        </w:rPr>
        <w:t xml:space="preserve"> tờ hướng dẫn sử dụng </w:t>
      </w:r>
      <w:r w:rsidRPr="007C554B">
        <w:rPr>
          <w:rFonts w:ascii="Times New Roman" w:hAnsi="Times New Roman" w:cs="Times New Roman"/>
          <w:sz w:val="26"/>
          <w:szCs w:val="26"/>
        </w:rPr>
        <w:t xml:space="preserve">CAFAZOLIN 1G </w:t>
      </w:r>
      <w:r w:rsidRPr="007C554B">
        <w:rPr>
          <w:rFonts w:ascii="Times New Roman" w:hAnsi="Times New Roman" w:cs="Times New Roman"/>
          <w:sz w:val="26"/>
          <w:szCs w:val="26"/>
          <w:lang w:val="vi-VN"/>
        </w:rPr>
        <w:t>của công ty dược</w:t>
      </w:r>
      <w:r w:rsidRPr="007C554B">
        <w:rPr>
          <w:rFonts w:ascii="Times New Roman" w:hAnsi="Times New Roman" w:cs="Times New Roman"/>
          <w:sz w:val="26"/>
          <w:szCs w:val="26"/>
        </w:rPr>
        <w:t xml:space="preserve"> phẩm MINH DÂN.</w:t>
      </w:r>
    </w:p>
    <w:sectPr w:rsidR="00052854" w:rsidRPr="007C554B" w:rsidSect="007C554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A358D"/>
    <w:multiLevelType w:val="hybridMultilevel"/>
    <w:tmpl w:val="C9F67716"/>
    <w:lvl w:ilvl="0" w:tplc="C80AC902">
      <w:start w:val="2"/>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05E"/>
    <w:rsid w:val="00052854"/>
    <w:rsid w:val="004B605E"/>
    <w:rsid w:val="007C554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60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B60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60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B60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Non.Dt</dc:creator>
  <cp:lastModifiedBy>Admin</cp:lastModifiedBy>
  <cp:revision>2</cp:revision>
  <dcterms:created xsi:type="dcterms:W3CDTF">2024-08-05T07:25:00Z</dcterms:created>
  <dcterms:modified xsi:type="dcterms:W3CDTF">2024-08-05T07:25:00Z</dcterms:modified>
</cp:coreProperties>
</file>